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504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744"/>
        <w:gridCol w:w="1014"/>
        <w:gridCol w:w="3173"/>
        <w:gridCol w:w="747"/>
        <w:gridCol w:w="706"/>
        <w:gridCol w:w="707"/>
        <w:gridCol w:w="733"/>
        <w:gridCol w:w="934"/>
        <w:gridCol w:w="760"/>
        <w:gridCol w:w="5080"/>
        <w:gridCol w:w="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trPr>
        <w:tc>
          <w:tcPr>
            <w:tcW w:w="4776" w:type="pct"/>
            <w:gridSpan w:val="11"/>
            <w:tcBorders>
              <w:top w:val="nil"/>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8"/>
                <w:szCs w:val="48"/>
                <w:u w:val="none"/>
              </w:rPr>
            </w:pPr>
            <w:bookmarkStart w:id="0" w:name="_GoBack"/>
            <w:r>
              <w:rPr>
                <w:rFonts w:hint="eastAsia" w:ascii="方正小标宋简体" w:hAnsi="方正小标宋简体" w:eastAsia="方正小标宋简体" w:cs="方正小标宋简体"/>
                <w:i w:val="0"/>
                <w:iCs w:val="0"/>
                <w:color w:val="000000"/>
                <w:kern w:val="0"/>
                <w:sz w:val="48"/>
                <w:szCs w:val="48"/>
                <w:u w:val="none"/>
                <w:lang w:val="en-US" w:eastAsia="zh-CN" w:bidi="ar"/>
              </w:rPr>
              <w:t>青岛市教育局2022年度“双随机、一公开”抽查计划</w:t>
            </w:r>
            <w:bookmarkEnd w:id="0"/>
          </w:p>
        </w:tc>
        <w:tc>
          <w:tcPr>
            <w:tcW w:w="223" w:type="pct"/>
            <w:tcBorders>
              <w:top w:val="nil"/>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方正小标宋简体" w:hAnsi="方正小标宋简体" w:eastAsia="方正小标宋简体" w:cs="方正小标宋简体"/>
                <w:i w:val="0"/>
                <w:iCs w:val="0"/>
                <w:color w:val="000000"/>
                <w:kern w:val="0"/>
                <w:sz w:val="48"/>
                <w:szCs w:val="4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atLeast"/>
        </w:trPr>
        <w:tc>
          <w:tcPr>
            <w:tcW w:w="1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序号</w:t>
            </w:r>
          </w:p>
        </w:tc>
        <w:tc>
          <w:tcPr>
            <w:tcW w:w="2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抽查领域</w:t>
            </w:r>
          </w:p>
        </w:tc>
        <w:tc>
          <w:tcPr>
            <w:tcW w:w="3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抽查事项</w:t>
            </w:r>
          </w:p>
        </w:tc>
        <w:tc>
          <w:tcPr>
            <w:tcW w:w="100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抽查内容</w:t>
            </w:r>
          </w:p>
        </w:tc>
        <w:tc>
          <w:tcPr>
            <w:tcW w:w="2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检查对象</w:t>
            </w:r>
          </w:p>
        </w:tc>
        <w:tc>
          <w:tcPr>
            <w:tcW w:w="2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事项</w:t>
            </w:r>
            <w:r>
              <w:rPr>
                <w:rFonts w:hint="eastAsia" w:ascii="黑体" w:hAnsi="宋体" w:eastAsia="黑体" w:cs="黑体"/>
                <w:i w:val="0"/>
                <w:iCs w:val="0"/>
                <w:color w:val="000000"/>
                <w:kern w:val="0"/>
                <w:sz w:val="24"/>
                <w:szCs w:val="24"/>
                <w:u w:val="none"/>
                <w:lang w:val="en-US" w:eastAsia="zh-CN" w:bidi="ar"/>
              </w:rPr>
              <w:br w:type="textWrapping"/>
            </w:r>
            <w:r>
              <w:rPr>
                <w:rFonts w:hint="eastAsia" w:ascii="黑体" w:hAnsi="宋体" w:eastAsia="黑体" w:cs="黑体"/>
                <w:i w:val="0"/>
                <w:iCs w:val="0"/>
                <w:color w:val="000000"/>
                <w:kern w:val="0"/>
                <w:sz w:val="24"/>
                <w:szCs w:val="24"/>
                <w:u w:val="none"/>
                <w:lang w:val="en-US" w:eastAsia="zh-CN" w:bidi="ar"/>
              </w:rPr>
              <w:t>类别</w:t>
            </w:r>
          </w:p>
        </w:tc>
        <w:tc>
          <w:tcPr>
            <w:tcW w:w="22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检查方式</w:t>
            </w:r>
          </w:p>
        </w:tc>
        <w:tc>
          <w:tcPr>
            <w:tcW w:w="23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发起</w:t>
            </w:r>
            <w:r>
              <w:rPr>
                <w:rFonts w:hint="eastAsia" w:ascii="黑体" w:hAnsi="宋体" w:eastAsia="黑体" w:cs="黑体"/>
                <w:i w:val="0"/>
                <w:iCs w:val="0"/>
                <w:color w:val="000000"/>
                <w:kern w:val="0"/>
                <w:sz w:val="24"/>
                <w:szCs w:val="24"/>
                <w:u w:val="none"/>
                <w:lang w:val="en-US" w:eastAsia="zh-CN" w:bidi="ar"/>
              </w:rPr>
              <w:br w:type="textWrapping"/>
            </w:r>
            <w:r>
              <w:rPr>
                <w:rFonts w:hint="eastAsia" w:ascii="黑体" w:hAnsi="宋体" w:eastAsia="黑体" w:cs="黑体"/>
                <w:i w:val="0"/>
                <w:iCs w:val="0"/>
                <w:color w:val="000000"/>
                <w:kern w:val="0"/>
                <w:sz w:val="24"/>
                <w:szCs w:val="24"/>
                <w:u w:val="none"/>
                <w:lang w:val="en-US" w:eastAsia="zh-CN" w:bidi="ar"/>
              </w:rPr>
              <w:t>部门</w:t>
            </w:r>
          </w:p>
        </w:tc>
        <w:tc>
          <w:tcPr>
            <w:tcW w:w="2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配合部门</w:t>
            </w:r>
          </w:p>
        </w:tc>
        <w:tc>
          <w:tcPr>
            <w:tcW w:w="2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检查主体</w:t>
            </w:r>
          </w:p>
        </w:tc>
        <w:tc>
          <w:tcPr>
            <w:tcW w:w="161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检查依据</w:t>
            </w:r>
          </w:p>
        </w:tc>
        <w:tc>
          <w:tcPr>
            <w:tcW w:w="2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黑体" w:hAnsi="宋体" w:eastAsia="黑体" w:cs="黑体"/>
                <w:i w:val="0"/>
                <w:iCs w:val="0"/>
                <w:color w:val="000000"/>
                <w:kern w:val="0"/>
                <w:sz w:val="24"/>
                <w:szCs w:val="24"/>
                <w:u w:val="none"/>
                <w:lang w:val="en-US" w:eastAsia="zh-CN" w:bidi="ar"/>
              </w:rPr>
            </w:pPr>
            <w:r>
              <w:rPr>
                <w:rFonts w:hint="eastAsia" w:ascii="黑体" w:hAnsi="宋体" w:eastAsia="黑体" w:cs="黑体"/>
                <w:i w:val="0"/>
                <w:iCs w:val="0"/>
                <w:color w:val="000000"/>
                <w:kern w:val="0"/>
                <w:sz w:val="24"/>
                <w:szCs w:val="24"/>
                <w:u w:val="none"/>
                <w:lang w:val="en-US" w:eastAsia="zh-CN" w:bidi="ar"/>
              </w:rPr>
              <w:t>检查时间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040" w:hRule="atLeast"/>
        </w:trPr>
        <w:tc>
          <w:tcPr>
            <w:tcW w:w="1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w:t>
            </w:r>
          </w:p>
        </w:tc>
        <w:tc>
          <w:tcPr>
            <w:tcW w:w="23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学校办学情况抽查</w:t>
            </w:r>
          </w:p>
        </w:tc>
        <w:tc>
          <w:tcPr>
            <w:tcW w:w="3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中小学教育装备产品（含文体教育用品、教学仪器、校服等）检查</w:t>
            </w:r>
          </w:p>
        </w:tc>
        <w:tc>
          <w:tcPr>
            <w:tcW w:w="100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随机抽取配备目录要求的文体教育用品、教学仪器，对学校的装备质量、装备条件、装备管理、装备应用等进行检查；学生服、学校絮用纤维制品招标、采购及管理情况；学校建立并执行絮用纤维制品进货检查验收和记录制度情况、学校絮用纤维制品的产品标识是否规范及产品质量状况</w:t>
            </w:r>
          </w:p>
        </w:tc>
        <w:tc>
          <w:tcPr>
            <w:tcW w:w="2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各类学校</w:t>
            </w:r>
          </w:p>
        </w:tc>
        <w:tc>
          <w:tcPr>
            <w:tcW w:w="2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一般检查事项</w:t>
            </w:r>
          </w:p>
        </w:tc>
        <w:tc>
          <w:tcPr>
            <w:tcW w:w="22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现场检查</w:t>
            </w:r>
          </w:p>
        </w:tc>
        <w:tc>
          <w:tcPr>
            <w:tcW w:w="23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教育部门</w:t>
            </w:r>
          </w:p>
        </w:tc>
        <w:tc>
          <w:tcPr>
            <w:tcW w:w="2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市场监管部门等相关部门</w:t>
            </w:r>
          </w:p>
        </w:tc>
        <w:tc>
          <w:tcPr>
            <w:tcW w:w="2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市、县级相关部门</w:t>
            </w:r>
          </w:p>
        </w:tc>
        <w:tc>
          <w:tcPr>
            <w:tcW w:w="161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1.教育部关于发布《初中物理教学装备配置标准》等6个学科配置标准的通知（教基函﹝2019﹞5号）</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2.《教育部关于加强和改进中小学实验教学的意见》（教基﹝2019﹞16号）</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3.教育部关于印发《中小学图书馆（室）规程》的通知（教基﹝2018﹞5号）</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4.《山东省普通中小学校办学条件标准》（鲁教基发﹝2017﹞1号）</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5.《山东省教育厅关于进一步加强实验室安全管理工作的意见》（鲁教科字﹝2019﹞2号）</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6.《纤维制品质量监督管理办法》（国家质量监督检验检疫总局令第178号）</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7.《山东省人民政府办公厅关于推进新时代山东高等教育高质量发展的若干意见》（鲁政办字〔2019〕76号）</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8.山东省教育厅山东省市场监督管理局《关于进一步加强高校学生床上用品管理保障产品质量安全的通知》（鲁教办字〔2020〕10号）</w:t>
            </w:r>
          </w:p>
        </w:tc>
        <w:tc>
          <w:tcPr>
            <w:tcW w:w="2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全年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0" w:hRule="atLeast"/>
        </w:trPr>
        <w:tc>
          <w:tcPr>
            <w:tcW w:w="1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2</w:t>
            </w:r>
          </w:p>
        </w:tc>
        <w:tc>
          <w:tcPr>
            <w:tcW w:w="23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kinsoku/>
              <w:wordWrap/>
              <w:overflowPunct/>
              <w:topLinePunct w:val="0"/>
              <w:autoSpaceDE/>
              <w:autoSpaceDN/>
              <w:bidi w:val="0"/>
              <w:adjustRightInd/>
              <w:snapToGrid/>
              <w:spacing w:line="400" w:lineRule="exact"/>
              <w:jc w:val="left"/>
              <w:rPr>
                <w:rFonts w:hint="eastAsia" w:ascii="仿宋_GB2312" w:hAnsi="宋体" w:eastAsia="仿宋_GB2312" w:cs="仿宋_GB2312"/>
                <w:i w:val="0"/>
                <w:iCs w:val="0"/>
                <w:color w:val="000000"/>
                <w:sz w:val="24"/>
                <w:szCs w:val="24"/>
                <w:u w:val="none"/>
              </w:rPr>
            </w:pPr>
          </w:p>
        </w:tc>
        <w:tc>
          <w:tcPr>
            <w:tcW w:w="3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学校招生、办学情况的检查</w:t>
            </w:r>
          </w:p>
        </w:tc>
        <w:tc>
          <w:tcPr>
            <w:tcW w:w="100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中小学办学行为：检查中小学校是否开齐开足国家规定课程，特别是道德法治、思想政治课是否按规定开设；检查中小学校是否存在违规使用境外教材，是否存在超出省定目录推荐教材教辅、强制或变相强制学生购买教辅材料；义务教育学校是否在上学日放学后开展课后服务；小学一、二年级是否布置书面作业，是否有作业时间统筹管理相关规定；是否有保障中小学生睡眠时间的具体措施；学校是否出台手机管理规定禁止将手机带入课堂；学校是否按程序组织本校课外读物的遴选、审核工作，是否存在强迫学生和家长购买课外读物；中小学校是否存在根据考试成绩分班、开设重点班或实验班</w:t>
            </w:r>
          </w:p>
        </w:tc>
        <w:tc>
          <w:tcPr>
            <w:tcW w:w="2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普通中小学</w:t>
            </w:r>
          </w:p>
        </w:tc>
        <w:tc>
          <w:tcPr>
            <w:tcW w:w="2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一般检查事项</w:t>
            </w:r>
          </w:p>
        </w:tc>
        <w:tc>
          <w:tcPr>
            <w:tcW w:w="22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现场检查</w:t>
            </w:r>
          </w:p>
        </w:tc>
        <w:tc>
          <w:tcPr>
            <w:tcW w:w="23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教育部门</w:t>
            </w:r>
          </w:p>
        </w:tc>
        <w:tc>
          <w:tcPr>
            <w:tcW w:w="2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民政、人力资源社会保障、住房城乡建设、卫生健康、消防救援机构等相关部门</w:t>
            </w:r>
          </w:p>
        </w:tc>
        <w:tc>
          <w:tcPr>
            <w:tcW w:w="2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市、县级相关部门</w:t>
            </w:r>
          </w:p>
        </w:tc>
        <w:tc>
          <w:tcPr>
            <w:tcW w:w="161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1.《山东省义务教育条例》(2000年11月通过)第五十五条。</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2.《国家新闻出版广电总局教育部国家发展改革委关于印发&lt;中小学教辅材料管理办法&gt;的通知》(新广出发〔2015〕45号）。</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3.《山东省义务教育条例》第五十二条。</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4.《山东省对违规从事普通中小学办学行为责任追究办法》(省政府令第255号)</w:t>
            </w:r>
          </w:p>
        </w:tc>
        <w:tc>
          <w:tcPr>
            <w:tcW w:w="2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全年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1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3</w:t>
            </w:r>
          </w:p>
        </w:tc>
        <w:tc>
          <w:tcPr>
            <w:tcW w:w="2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对校外培训机构的检查</w:t>
            </w:r>
          </w:p>
        </w:tc>
        <w:tc>
          <w:tcPr>
            <w:tcW w:w="3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校外培训机构办学情况的检查</w:t>
            </w:r>
          </w:p>
        </w:tc>
        <w:tc>
          <w:tcPr>
            <w:tcW w:w="100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在各自职责范围内对校外培训机构办学行为、培训对象、办学内容等进行检查</w:t>
            </w:r>
          </w:p>
        </w:tc>
        <w:tc>
          <w:tcPr>
            <w:tcW w:w="2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校外培训机构</w:t>
            </w:r>
          </w:p>
        </w:tc>
        <w:tc>
          <w:tcPr>
            <w:tcW w:w="2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一般检查事项</w:t>
            </w:r>
          </w:p>
        </w:tc>
        <w:tc>
          <w:tcPr>
            <w:tcW w:w="22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书面检查、现场检查</w:t>
            </w:r>
          </w:p>
        </w:tc>
        <w:tc>
          <w:tcPr>
            <w:tcW w:w="23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教育部门</w:t>
            </w:r>
          </w:p>
        </w:tc>
        <w:tc>
          <w:tcPr>
            <w:tcW w:w="2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民政、人力资源社会保障、市场监管、消防救援机构等相关部门</w:t>
            </w:r>
          </w:p>
        </w:tc>
        <w:tc>
          <w:tcPr>
            <w:tcW w:w="2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县级相关部门</w:t>
            </w:r>
          </w:p>
        </w:tc>
        <w:tc>
          <w:tcPr>
            <w:tcW w:w="161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1.《山东省人民政府办公厅关于规范校外培训机构发展的实施意见》（鲁政办字〔2019〕49号）</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2.《山东省学生体质健康促进条例》（2018年9月通过）第四十三条。</w:t>
            </w:r>
          </w:p>
        </w:tc>
        <w:tc>
          <w:tcPr>
            <w:tcW w:w="2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全年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2" w:hRule="atLeast"/>
        </w:trPr>
        <w:tc>
          <w:tcPr>
            <w:tcW w:w="14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4</w:t>
            </w:r>
          </w:p>
        </w:tc>
        <w:tc>
          <w:tcPr>
            <w:tcW w:w="2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对学校采光照明的检查</w:t>
            </w:r>
          </w:p>
        </w:tc>
        <w:tc>
          <w:tcPr>
            <w:tcW w:w="3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学校采光照明检查</w:t>
            </w:r>
          </w:p>
        </w:tc>
        <w:tc>
          <w:tcPr>
            <w:tcW w:w="100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检查教室灯具安装规范情况，课桌面和黑板平均照度、照度均匀度、光源色温、频闪、蓝光等指标的达标情况等</w:t>
            </w:r>
          </w:p>
        </w:tc>
        <w:tc>
          <w:tcPr>
            <w:tcW w:w="237"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中小学校</w:t>
            </w:r>
          </w:p>
        </w:tc>
        <w:tc>
          <w:tcPr>
            <w:tcW w:w="2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一般检查事项</w:t>
            </w:r>
          </w:p>
        </w:tc>
        <w:tc>
          <w:tcPr>
            <w:tcW w:w="224"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现场检查</w:t>
            </w:r>
          </w:p>
        </w:tc>
        <w:tc>
          <w:tcPr>
            <w:tcW w:w="232"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教育部门</w:t>
            </w:r>
          </w:p>
        </w:tc>
        <w:tc>
          <w:tcPr>
            <w:tcW w:w="2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卫生健康部门等相关部门</w:t>
            </w:r>
          </w:p>
        </w:tc>
        <w:tc>
          <w:tcPr>
            <w:tcW w:w="24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市、县级相关部门</w:t>
            </w:r>
          </w:p>
        </w:tc>
        <w:tc>
          <w:tcPr>
            <w:tcW w:w="1611"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1.教育部等八部门关于印发《综合防控儿童青少年近视实施方案》的通知（教体艺﹝2018﹞3号）</w:t>
            </w:r>
            <w:r>
              <w:rPr>
                <w:rFonts w:hint="eastAsia" w:ascii="仿宋_GB2312" w:hAnsi="宋体" w:eastAsia="仿宋_GB2312" w:cs="仿宋_GB2312"/>
                <w:i w:val="0"/>
                <w:iCs w:val="0"/>
                <w:color w:val="000000"/>
                <w:kern w:val="0"/>
                <w:sz w:val="24"/>
                <w:szCs w:val="24"/>
                <w:u w:val="none"/>
                <w:lang w:val="en-US" w:eastAsia="zh-CN" w:bidi="ar"/>
              </w:rPr>
              <w:br w:type="textWrapping"/>
            </w:r>
            <w:r>
              <w:rPr>
                <w:rFonts w:hint="eastAsia" w:ascii="仿宋_GB2312" w:hAnsi="宋体" w:eastAsia="仿宋_GB2312" w:cs="仿宋_GB2312"/>
                <w:i w:val="0"/>
                <w:iCs w:val="0"/>
                <w:color w:val="000000"/>
                <w:kern w:val="0"/>
                <w:sz w:val="24"/>
                <w:szCs w:val="24"/>
                <w:u w:val="none"/>
                <w:lang w:val="en-US" w:eastAsia="zh-CN" w:bidi="ar"/>
              </w:rPr>
              <w:t>2.山东省教育厅等九部门关于印发《山东省儿童青少年近视综合防控推进计划》的通知（鲁教体发〔2019〕1号）</w:t>
            </w:r>
          </w:p>
        </w:tc>
        <w:tc>
          <w:tcPr>
            <w:tcW w:w="223" w:type="pc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kern w:val="0"/>
                <w:sz w:val="24"/>
                <w:szCs w:val="24"/>
                <w:u w:val="none"/>
                <w:lang w:val="en-US" w:eastAsia="zh-CN" w:bidi="ar"/>
              </w:rPr>
            </w:pPr>
            <w:r>
              <w:rPr>
                <w:rFonts w:hint="eastAsia" w:ascii="仿宋_GB2312" w:hAnsi="宋体" w:eastAsia="仿宋_GB2312" w:cs="仿宋_GB2312"/>
                <w:i w:val="0"/>
                <w:iCs w:val="0"/>
                <w:color w:val="000000"/>
                <w:kern w:val="0"/>
                <w:sz w:val="24"/>
                <w:szCs w:val="24"/>
                <w:u w:val="none"/>
                <w:lang w:val="en-US" w:eastAsia="zh-CN" w:bidi="ar"/>
              </w:rPr>
              <w:t>全年</w:t>
            </w:r>
          </w:p>
        </w:tc>
      </w:tr>
    </w:tbl>
    <w:p>
      <w:pPr>
        <w:keepNext w:val="0"/>
        <w:keepLines w:val="0"/>
        <w:pageBreakBefore w:val="0"/>
        <w:widowControl w:val="0"/>
        <w:kinsoku/>
        <w:wordWrap/>
        <w:overflowPunct/>
        <w:topLinePunct w:val="0"/>
        <w:autoSpaceDE/>
        <w:autoSpaceDN/>
        <w:bidi w:val="0"/>
        <w:adjustRightInd/>
        <w:snapToGrid/>
        <w:spacing w:line="400" w:lineRule="exact"/>
        <w:ind w:left="5760" w:hanging="5760" w:hangingChars="1800"/>
        <w:jc w:val="left"/>
        <w:textAlignment w:val="auto"/>
        <w:rPr>
          <w:rFonts w:hint="eastAsia" w:ascii="仿宋_GB2312" w:hAnsi="仿宋_GB2312" w:eastAsia="仿宋_GB2312" w:cs="仿宋_GB2312"/>
          <w:sz w:val="32"/>
          <w:szCs w:val="32"/>
        </w:rPr>
      </w:pPr>
    </w:p>
    <w:sectPr>
      <w:footerReference r:id="rId3" w:type="default"/>
      <w:pgSz w:w="16838" w:h="11906" w:orient="landscape"/>
      <w:pgMar w:top="720" w:right="720" w:bottom="720" w:left="72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方正小标宋简体">
    <w:panose1 w:val="00000600000000000000"/>
    <w:charset w:val="86"/>
    <w:family w:val="auto"/>
    <w:pitch w:val="default"/>
    <w:sig w:usb0="800002BF" w:usb1="184F6CF8" w:usb2="00000012" w:usb3="00000000" w:csb0="00160001" w:csb1="1203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Q1N2Y5ZGZkZTZiMWY2Yzk3ZDgwN2VkNGE0MTZkNmUifQ=="/>
  </w:docVars>
  <w:rsids>
    <w:rsidRoot w:val="00000000"/>
    <w:rsid w:val="0BF862D3"/>
    <w:rsid w:val="22A66EAD"/>
    <w:rsid w:val="306016F2"/>
    <w:rsid w:val="321E68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2022-07-04T09:00:00Z</dcterms:created>
  <dc:creator>QIAO</dc:creator>
  <cp:lastModifiedBy>青岛市教育局办公室（新闻中心）</cp:lastModifiedBy>
  <dcterms:modified xsi:type="dcterms:W3CDTF">2022-07-12T08:09:38Z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8466164DEE844CF68B4F434F87D983B6</vt:lpwstr>
  </property>
</Properties>
</file>