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24F33" w14:textId="77777777" w:rsidR="00F1578D" w:rsidRDefault="00F1578D" w:rsidP="00F1578D">
      <w:pPr>
        <w:widowControl/>
        <w:spacing w:line="560" w:lineRule="exact"/>
        <w:jc w:val="left"/>
        <w:rPr>
          <w:rFonts w:ascii="黑体" w:eastAsia="黑体" w:hAnsi="黑体" w:cs="黑体"/>
          <w:szCs w:val="32"/>
        </w:rPr>
      </w:pPr>
      <w:r>
        <w:rPr>
          <w:rFonts w:ascii="黑体" w:eastAsia="黑体" w:hAnsi="黑体" w:cs="黑体" w:hint="eastAsia"/>
          <w:szCs w:val="32"/>
        </w:rPr>
        <w:t>附件</w:t>
      </w:r>
      <w:r>
        <w:rPr>
          <w:rFonts w:ascii="黑体" w:eastAsia="黑体" w:hAnsi="黑体" w:cs="黑体"/>
          <w:szCs w:val="32"/>
        </w:rPr>
        <w:t>2</w:t>
      </w:r>
    </w:p>
    <w:p w14:paraId="50E54479" w14:textId="77777777" w:rsidR="00F1578D" w:rsidRDefault="00F1578D" w:rsidP="00F1578D">
      <w:pPr>
        <w:widowControl/>
        <w:spacing w:line="560" w:lineRule="exact"/>
        <w:ind w:firstLineChars="100" w:firstLine="456"/>
        <w:jc w:val="center"/>
        <w:rPr>
          <w:rFonts w:ascii="方正小标宋简体" w:eastAsia="方正小标宋简体" w:hAnsi="方正小标宋简体"/>
          <w:sz w:val="44"/>
          <w:szCs w:val="44"/>
        </w:rPr>
      </w:pPr>
      <w:r>
        <w:rPr>
          <w:rFonts w:ascii="方正小标宋简体" w:eastAsia="方正小标宋简体" w:hAnsi="方正小标宋简体" w:cs="方正小标宋简体" w:hint="eastAsia"/>
          <w:sz w:val="44"/>
          <w:szCs w:val="44"/>
        </w:rPr>
        <w:t>中等职业学校办学条件标准</w:t>
      </w:r>
    </w:p>
    <w:p w14:paraId="0680B3FF" w14:textId="77777777" w:rsidR="00F1578D" w:rsidRDefault="00F1578D" w:rsidP="00F1578D">
      <w:pPr>
        <w:widowControl/>
        <w:spacing w:line="560" w:lineRule="exact"/>
        <w:ind w:firstLineChars="200" w:firstLine="672"/>
        <w:jc w:val="left"/>
        <w:rPr>
          <w:rFonts w:ascii="仿宋_GB2312" w:eastAsia="仿宋_GB2312" w:hAnsi="仿宋_GB2312"/>
          <w:szCs w:val="32"/>
        </w:rPr>
      </w:pPr>
    </w:p>
    <w:p w14:paraId="1285EF8B" w14:textId="77777777" w:rsidR="00F1578D" w:rsidRDefault="00F1578D" w:rsidP="00F1578D">
      <w:pPr>
        <w:widowControl/>
        <w:spacing w:line="560" w:lineRule="exact"/>
        <w:ind w:firstLineChars="200" w:firstLine="672"/>
        <w:jc w:val="left"/>
        <w:rPr>
          <w:rFonts w:ascii="仿宋_GB2312" w:eastAsia="仿宋_GB2312" w:hAnsi="仿宋_GB2312"/>
          <w:szCs w:val="32"/>
        </w:rPr>
      </w:pPr>
      <w:r>
        <w:rPr>
          <w:rFonts w:ascii="仿宋_GB2312" w:eastAsia="仿宋_GB2312" w:hAnsi="仿宋_GB2312" w:cs="仿宋_GB2312" w:hint="eastAsia"/>
          <w:szCs w:val="32"/>
        </w:rPr>
        <w:t>中等职业教育学校办学条件应达到《教育部中等职业学校设置标准》（教职成〔</w:t>
      </w:r>
      <w:r>
        <w:rPr>
          <w:rFonts w:ascii="仿宋_GB2312" w:eastAsia="仿宋_GB2312" w:hAnsi="仿宋_GB2312" w:cs="仿宋_GB2312"/>
          <w:szCs w:val="32"/>
        </w:rPr>
        <w:t>2010</w:t>
      </w:r>
      <w:r>
        <w:rPr>
          <w:rFonts w:ascii="仿宋_GB2312" w:eastAsia="仿宋_GB2312" w:hAnsi="仿宋_GB2312" w:cs="仿宋_GB2312" w:hint="eastAsia"/>
          <w:szCs w:val="32"/>
        </w:rPr>
        <w:t>〕</w:t>
      </w:r>
      <w:r>
        <w:rPr>
          <w:rFonts w:ascii="仿宋_GB2312" w:eastAsia="仿宋_GB2312" w:hAnsi="仿宋_GB2312" w:cs="仿宋_GB2312"/>
          <w:szCs w:val="32"/>
        </w:rPr>
        <w:t>12</w:t>
      </w:r>
      <w:r>
        <w:rPr>
          <w:rFonts w:ascii="仿宋_GB2312" w:eastAsia="仿宋_GB2312" w:hAnsi="仿宋_GB2312" w:cs="仿宋_GB2312" w:hint="eastAsia"/>
          <w:szCs w:val="32"/>
        </w:rPr>
        <w:t>号）要求。</w:t>
      </w:r>
    </w:p>
    <w:p w14:paraId="374359EC" w14:textId="77777777" w:rsidR="00F1578D" w:rsidRDefault="00F1578D" w:rsidP="00F1578D">
      <w:pPr>
        <w:widowControl/>
        <w:spacing w:line="560" w:lineRule="exact"/>
        <w:ind w:firstLineChars="200" w:firstLine="672"/>
        <w:jc w:val="left"/>
        <w:rPr>
          <w:rFonts w:ascii="楷体_GB2312" w:hAnsi="楷体_GB2312"/>
          <w:szCs w:val="32"/>
        </w:rPr>
      </w:pPr>
      <w:r>
        <w:rPr>
          <w:rFonts w:ascii="楷体_GB2312" w:hAnsi="楷体_GB2312" w:cs="楷体_GB2312"/>
          <w:szCs w:val="32"/>
        </w:rPr>
        <w:t>1.</w:t>
      </w:r>
      <w:r>
        <w:rPr>
          <w:rFonts w:ascii="楷体_GB2312" w:hAnsi="楷体_GB2312" w:cs="楷体_GB2312" w:hint="eastAsia"/>
          <w:szCs w:val="32"/>
        </w:rPr>
        <w:t>建设用地</w:t>
      </w:r>
    </w:p>
    <w:p w14:paraId="2DDD95F1" w14:textId="77777777" w:rsidR="00F1578D" w:rsidRDefault="00F1578D" w:rsidP="00F1578D">
      <w:pPr>
        <w:spacing w:line="560" w:lineRule="exact"/>
        <w:ind w:firstLineChars="200" w:firstLine="672"/>
        <w:rPr>
          <w:rFonts w:ascii="仿宋_GB2312" w:eastAsia="仿宋_GB2312" w:hAnsi="仿宋_GB2312"/>
          <w:szCs w:val="32"/>
        </w:rPr>
      </w:pPr>
      <w:r>
        <w:rPr>
          <w:rFonts w:ascii="仿宋_GB2312" w:eastAsia="仿宋_GB2312" w:hAnsi="仿宋_GB2312" w:cs="仿宋_GB2312" w:hint="eastAsia"/>
          <w:szCs w:val="32"/>
        </w:rPr>
        <w:t>校园占地面积（不含教职工宿舍和相对独立的附属机构）：新建学校的建设规划总用地不少于</w:t>
      </w:r>
      <w:smartTag w:uri="urn:schemas-microsoft-com:office:smarttags" w:element="chmetcnv">
        <w:smartTagPr>
          <w:attr w:name="TCSC" w:val="1"/>
          <w:attr w:name="NumberType" w:val="1"/>
          <w:attr w:name="Negative" w:val="False"/>
          <w:attr w:name="HasSpace" w:val="False"/>
          <w:attr w:name="SourceValue" w:val="40000"/>
          <w:attr w:name="UnitName" w:val="平方米"/>
        </w:smartTagPr>
        <w:r>
          <w:rPr>
            <w:rFonts w:ascii="仿宋_GB2312" w:eastAsia="仿宋_GB2312" w:hAnsi="仿宋_GB2312" w:cs="仿宋_GB2312"/>
            <w:szCs w:val="32"/>
          </w:rPr>
          <w:t>4</w:t>
        </w:r>
        <w:r>
          <w:rPr>
            <w:rFonts w:ascii="仿宋_GB2312" w:eastAsia="仿宋_GB2312" w:hAnsi="仿宋_GB2312" w:cs="仿宋_GB2312" w:hint="eastAsia"/>
            <w:szCs w:val="32"/>
          </w:rPr>
          <w:t>万平方米</w:t>
        </w:r>
      </w:smartTag>
      <w:r>
        <w:rPr>
          <w:rFonts w:ascii="仿宋_GB2312" w:eastAsia="仿宋_GB2312" w:hAnsi="仿宋_GB2312" w:cs="仿宋_GB2312" w:hint="eastAsia"/>
          <w:szCs w:val="32"/>
        </w:rPr>
        <w:t>；生均用地面积指标不少于</w:t>
      </w:r>
      <w:smartTag w:uri="urn:schemas-microsoft-com:office:smarttags" w:element="chmetcnv">
        <w:smartTagPr>
          <w:attr w:name="TCSC" w:val="0"/>
          <w:attr w:name="NumberType" w:val="1"/>
          <w:attr w:name="Negative" w:val="False"/>
          <w:attr w:name="HasSpace" w:val="False"/>
          <w:attr w:name="SourceValue" w:val="33"/>
          <w:attr w:name="UnitName" w:val="平方米"/>
        </w:smartTagPr>
        <w:r>
          <w:rPr>
            <w:rFonts w:ascii="仿宋_GB2312" w:eastAsia="仿宋_GB2312" w:hAnsi="仿宋_GB2312" w:cs="仿宋_GB2312"/>
            <w:szCs w:val="32"/>
          </w:rPr>
          <w:t>33</w:t>
        </w:r>
        <w:r>
          <w:rPr>
            <w:rFonts w:ascii="仿宋_GB2312" w:eastAsia="仿宋_GB2312" w:hAnsi="仿宋_GB2312" w:cs="仿宋_GB2312" w:hint="eastAsia"/>
            <w:szCs w:val="32"/>
          </w:rPr>
          <w:t>平方米</w:t>
        </w:r>
      </w:smartTag>
      <w:r>
        <w:rPr>
          <w:rFonts w:ascii="仿宋_GB2312" w:eastAsia="仿宋_GB2312" w:hAnsi="仿宋_GB2312" w:cs="仿宋_GB2312" w:hint="eastAsia"/>
          <w:szCs w:val="32"/>
        </w:rPr>
        <w:t>。</w:t>
      </w:r>
    </w:p>
    <w:p w14:paraId="28CE04E9" w14:textId="77777777" w:rsidR="00F1578D" w:rsidRDefault="00F1578D" w:rsidP="00F1578D">
      <w:pPr>
        <w:spacing w:line="560" w:lineRule="exact"/>
        <w:ind w:firstLineChars="200" w:firstLine="672"/>
        <w:rPr>
          <w:rFonts w:ascii="仿宋_GB2312" w:eastAsia="仿宋_GB2312" w:hAnsi="仿宋_GB2312"/>
          <w:szCs w:val="32"/>
        </w:rPr>
      </w:pPr>
      <w:r>
        <w:rPr>
          <w:rFonts w:ascii="仿宋_GB2312" w:eastAsia="仿宋_GB2312" w:hAnsi="仿宋_GB2312" w:cs="仿宋_GB2312"/>
          <w:szCs w:val="32"/>
        </w:rPr>
        <w:t>2.</w:t>
      </w:r>
      <w:r>
        <w:rPr>
          <w:rFonts w:ascii="仿宋_GB2312" w:eastAsia="仿宋_GB2312" w:hAnsi="仿宋_GB2312" w:cs="仿宋_GB2312" w:hint="eastAsia"/>
          <w:szCs w:val="32"/>
        </w:rPr>
        <w:t>学校校舍</w:t>
      </w:r>
    </w:p>
    <w:p w14:paraId="029F27A1" w14:textId="77777777" w:rsidR="00F1578D" w:rsidRDefault="00F1578D" w:rsidP="00F1578D">
      <w:pPr>
        <w:spacing w:line="560" w:lineRule="exact"/>
        <w:ind w:firstLineChars="200" w:firstLine="672"/>
        <w:rPr>
          <w:rFonts w:ascii="仿宋_GB2312" w:eastAsia="仿宋_GB2312" w:hAnsi="仿宋_GB2312"/>
          <w:szCs w:val="32"/>
        </w:rPr>
      </w:pPr>
      <w:r>
        <w:rPr>
          <w:rFonts w:ascii="仿宋_GB2312" w:eastAsia="仿宋_GB2312" w:hAnsi="仿宋_GB2312" w:cs="仿宋_GB2312" w:hint="eastAsia"/>
          <w:szCs w:val="32"/>
        </w:rPr>
        <w:t>校舍建筑面积（不含教职工宿舍和相对独立的附属机构）：新建学校建筑规划面积不少于</w:t>
      </w:r>
      <w:r>
        <w:rPr>
          <w:rFonts w:ascii="仿宋_GB2312" w:eastAsia="仿宋_GB2312" w:hAnsi="仿宋_GB2312" w:cs="仿宋_GB2312"/>
          <w:szCs w:val="32"/>
        </w:rPr>
        <w:t>2.</w:t>
      </w:r>
      <w:smartTag w:uri="urn:schemas-microsoft-com:office:smarttags" w:element="chmetcnv">
        <w:smartTagPr>
          <w:attr w:name="TCSC" w:val="1"/>
          <w:attr w:name="NumberType" w:val="1"/>
          <w:attr w:name="Negative" w:val="False"/>
          <w:attr w:name="HasSpace" w:val="False"/>
          <w:attr w:name="SourceValue" w:val="40000"/>
          <w:attr w:name="UnitName" w:val="平方米"/>
        </w:smartTagPr>
        <w:r>
          <w:rPr>
            <w:rFonts w:ascii="仿宋_GB2312" w:eastAsia="仿宋_GB2312" w:hAnsi="仿宋_GB2312" w:cs="仿宋_GB2312"/>
            <w:szCs w:val="32"/>
          </w:rPr>
          <w:t>4</w:t>
        </w:r>
        <w:r>
          <w:rPr>
            <w:rFonts w:ascii="仿宋_GB2312" w:eastAsia="仿宋_GB2312" w:hAnsi="仿宋_GB2312" w:cs="仿宋_GB2312" w:hint="eastAsia"/>
            <w:szCs w:val="32"/>
          </w:rPr>
          <w:t>万平方米</w:t>
        </w:r>
      </w:smartTag>
      <w:r>
        <w:rPr>
          <w:rFonts w:ascii="仿宋_GB2312" w:eastAsia="仿宋_GB2312" w:hAnsi="仿宋_GB2312" w:cs="仿宋_GB2312" w:hint="eastAsia"/>
          <w:szCs w:val="32"/>
        </w:rPr>
        <w:t>；生均校舍建筑面积指标不少于</w:t>
      </w:r>
      <w:smartTag w:uri="urn:schemas-microsoft-com:office:smarttags" w:element="chmetcnv">
        <w:smartTagPr>
          <w:attr w:name="TCSC" w:val="0"/>
          <w:attr w:name="NumberType" w:val="1"/>
          <w:attr w:name="Negative" w:val="False"/>
          <w:attr w:name="HasSpace" w:val="False"/>
          <w:attr w:name="SourceValue" w:val="20"/>
          <w:attr w:name="UnitName" w:val="平方米"/>
        </w:smartTagPr>
        <w:r>
          <w:rPr>
            <w:rFonts w:ascii="仿宋_GB2312" w:eastAsia="仿宋_GB2312" w:hAnsi="仿宋_GB2312" w:cs="仿宋_GB2312"/>
            <w:szCs w:val="32"/>
          </w:rPr>
          <w:t>20</w:t>
        </w:r>
        <w:r>
          <w:rPr>
            <w:rFonts w:ascii="仿宋_GB2312" w:eastAsia="仿宋_GB2312" w:hAnsi="仿宋_GB2312" w:cs="仿宋_GB2312" w:hint="eastAsia"/>
            <w:szCs w:val="32"/>
          </w:rPr>
          <w:t>平方米</w:t>
        </w:r>
      </w:smartTag>
      <w:r>
        <w:rPr>
          <w:rFonts w:ascii="仿宋_GB2312" w:eastAsia="仿宋_GB2312" w:hAnsi="仿宋_GB2312" w:cs="仿宋_GB2312" w:hint="eastAsia"/>
          <w:szCs w:val="32"/>
        </w:rPr>
        <w:t>。</w:t>
      </w:r>
    </w:p>
    <w:p w14:paraId="2EBFFBD2" w14:textId="77777777" w:rsidR="00F1578D" w:rsidRDefault="00F1578D" w:rsidP="00F1578D">
      <w:pPr>
        <w:widowControl/>
        <w:spacing w:line="560" w:lineRule="exact"/>
        <w:ind w:firstLineChars="200" w:firstLine="672"/>
        <w:jc w:val="left"/>
        <w:rPr>
          <w:rFonts w:ascii="楷体_GB2312" w:hAnsi="楷体_GB2312"/>
          <w:szCs w:val="32"/>
        </w:rPr>
      </w:pPr>
      <w:r>
        <w:rPr>
          <w:rFonts w:ascii="楷体_GB2312" w:hAnsi="楷体_GB2312" w:cs="楷体_GB2312"/>
          <w:szCs w:val="32"/>
        </w:rPr>
        <w:t>3.</w:t>
      </w:r>
      <w:r>
        <w:rPr>
          <w:rFonts w:ascii="楷体_GB2312" w:hAnsi="楷体_GB2312" w:cs="楷体_GB2312" w:hint="eastAsia"/>
          <w:szCs w:val="32"/>
        </w:rPr>
        <w:t>办学规模</w:t>
      </w:r>
    </w:p>
    <w:p w14:paraId="162C60D7" w14:textId="77777777" w:rsidR="00F1578D" w:rsidRDefault="00F1578D" w:rsidP="00F1578D">
      <w:pPr>
        <w:spacing w:line="560" w:lineRule="exact"/>
        <w:ind w:firstLineChars="200" w:firstLine="672"/>
        <w:rPr>
          <w:rFonts w:ascii="仿宋_GB2312" w:eastAsia="仿宋_GB2312" w:hAnsi="仿宋_GB2312"/>
          <w:szCs w:val="32"/>
        </w:rPr>
      </w:pPr>
      <w:r>
        <w:rPr>
          <w:rFonts w:ascii="仿宋_GB2312" w:eastAsia="仿宋_GB2312" w:hAnsi="仿宋_GB2312" w:cs="仿宋_GB2312" w:hint="eastAsia"/>
          <w:szCs w:val="32"/>
        </w:rPr>
        <w:t>中等职业学校应当具备基本的办学规模。其中，学校学历教育在校生数应在</w:t>
      </w:r>
      <w:r>
        <w:rPr>
          <w:rFonts w:ascii="仿宋_GB2312" w:eastAsia="仿宋_GB2312" w:hAnsi="仿宋_GB2312" w:cs="仿宋_GB2312"/>
          <w:szCs w:val="32"/>
        </w:rPr>
        <w:t>1200</w:t>
      </w:r>
      <w:r>
        <w:rPr>
          <w:rFonts w:ascii="仿宋_GB2312" w:eastAsia="仿宋_GB2312" w:hAnsi="仿宋_GB2312" w:cs="仿宋_GB2312" w:hint="eastAsia"/>
          <w:szCs w:val="32"/>
        </w:rPr>
        <w:t>人以上。</w:t>
      </w:r>
    </w:p>
    <w:p w14:paraId="3F8BCF67" w14:textId="77777777" w:rsidR="00F1578D" w:rsidRDefault="00F1578D" w:rsidP="00F1578D">
      <w:pPr>
        <w:widowControl/>
        <w:spacing w:line="560" w:lineRule="exact"/>
        <w:ind w:firstLineChars="200" w:firstLine="672"/>
        <w:jc w:val="left"/>
        <w:rPr>
          <w:rFonts w:ascii="楷体_GB2312" w:hAnsi="楷体_GB2312"/>
          <w:szCs w:val="32"/>
        </w:rPr>
      </w:pPr>
      <w:r>
        <w:rPr>
          <w:rFonts w:ascii="楷体_GB2312" w:hAnsi="楷体_GB2312" w:cs="楷体_GB2312"/>
          <w:szCs w:val="32"/>
        </w:rPr>
        <w:t>4.</w:t>
      </w:r>
      <w:r>
        <w:rPr>
          <w:rFonts w:ascii="楷体_GB2312" w:hAnsi="楷体_GB2312" w:cs="楷体_GB2312" w:hint="eastAsia"/>
          <w:szCs w:val="32"/>
        </w:rPr>
        <w:t>教育装备</w:t>
      </w:r>
    </w:p>
    <w:p w14:paraId="71A07E34" w14:textId="77777777" w:rsidR="00F1578D" w:rsidRDefault="00F1578D" w:rsidP="00F1578D">
      <w:pPr>
        <w:spacing w:line="560" w:lineRule="exact"/>
        <w:ind w:firstLineChars="200" w:firstLine="672"/>
        <w:rPr>
          <w:rFonts w:ascii="仿宋_GB2312" w:eastAsia="仿宋_GB2312" w:hAnsi="仿宋_GB2312"/>
          <w:szCs w:val="32"/>
        </w:rPr>
      </w:pPr>
      <w:r>
        <w:rPr>
          <w:rFonts w:ascii="仿宋_GB2312" w:eastAsia="仿宋_GB2312" w:hAnsi="仿宋_GB2312" w:cs="仿宋_GB2312" w:hint="eastAsia"/>
          <w:szCs w:val="32"/>
        </w:rPr>
        <w:t>体育用地：应有</w:t>
      </w:r>
      <w:smartTag w:uri="urn:schemas-microsoft-com:office:smarttags" w:element="chmetcnv">
        <w:smartTagPr>
          <w:attr w:name="TCSC" w:val="0"/>
          <w:attr w:name="NumberType" w:val="1"/>
          <w:attr w:name="Negative" w:val="False"/>
          <w:attr w:name="HasSpace" w:val="False"/>
          <w:attr w:name="SourceValue" w:val="200"/>
          <w:attr w:name="UnitName" w:val="米"/>
        </w:smartTagPr>
        <w:r>
          <w:rPr>
            <w:rFonts w:ascii="仿宋_GB2312" w:eastAsia="仿宋_GB2312" w:hAnsi="仿宋_GB2312" w:cs="仿宋_GB2312"/>
            <w:szCs w:val="32"/>
          </w:rPr>
          <w:t>200</w:t>
        </w:r>
        <w:r>
          <w:rPr>
            <w:rFonts w:ascii="仿宋_GB2312" w:eastAsia="仿宋_GB2312" w:hAnsi="仿宋_GB2312" w:cs="仿宋_GB2312" w:hint="eastAsia"/>
            <w:szCs w:val="32"/>
          </w:rPr>
          <w:t>米</w:t>
        </w:r>
      </w:smartTag>
      <w:r>
        <w:rPr>
          <w:rFonts w:ascii="仿宋_GB2312" w:eastAsia="仿宋_GB2312" w:hAnsi="仿宋_GB2312" w:cs="仿宋_GB2312" w:hint="eastAsia"/>
          <w:szCs w:val="32"/>
        </w:rPr>
        <w:t>以上环型跑道的田径场，有满足教学和体育活动需要的其他设施和场地，符合《学校体育工作条例》的基本要求。卫生保健、校园安全机构健全，教学、生活设施设备符合《学校卫生工作条例》的基本要求，校园安全有保障。</w:t>
      </w:r>
    </w:p>
    <w:p w14:paraId="35167E49" w14:textId="77777777" w:rsidR="00F1578D" w:rsidRDefault="00F1578D" w:rsidP="00F1578D">
      <w:pPr>
        <w:spacing w:line="560" w:lineRule="exact"/>
        <w:ind w:firstLineChars="200" w:firstLine="672"/>
        <w:rPr>
          <w:rFonts w:ascii="仿宋_GB2312" w:eastAsia="仿宋_GB2312" w:hAnsi="仿宋_GB2312"/>
          <w:szCs w:val="32"/>
        </w:rPr>
      </w:pPr>
      <w:r>
        <w:rPr>
          <w:rFonts w:ascii="仿宋_GB2312" w:eastAsia="仿宋_GB2312" w:hAnsi="仿宋_GB2312" w:cs="仿宋_GB2312" w:hint="eastAsia"/>
          <w:szCs w:val="32"/>
        </w:rPr>
        <w:t>图书馆和阅览室：适用印刷图书生均不少于</w:t>
      </w:r>
      <w:r>
        <w:rPr>
          <w:rFonts w:ascii="仿宋_GB2312" w:eastAsia="仿宋_GB2312" w:hAnsi="仿宋_GB2312" w:cs="仿宋_GB2312"/>
          <w:szCs w:val="32"/>
        </w:rPr>
        <w:t>30</w:t>
      </w:r>
      <w:r>
        <w:rPr>
          <w:rFonts w:ascii="仿宋_GB2312" w:eastAsia="仿宋_GB2312" w:hAnsi="仿宋_GB2312" w:cs="仿宋_GB2312" w:hint="eastAsia"/>
          <w:szCs w:val="32"/>
        </w:rPr>
        <w:t>册；报刊种类</w:t>
      </w:r>
      <w:r>
        <w:rPr>
          <w:rFonts w:ascii="仿宋_GB2312" w:eastAsia="仿宋_GB2312" w:hAnsi="仿宋_GB2312" w:cs="仿宋_GB2312"/>
          <w:szCs w:val="32"/>
        </w:rPr>
        <w:t>80</w:t>
      </w:r>
      <w:r>
        <w:rPr>
          <w:rFonts w:ascii="仿宋_GB2312" w:eastAsia="仿宋_GB2312" w:hAnsi="仿宋_GB2312" w:cs="仿宋_GB2312" w:hint="eastAsia"/>
          <w:szCs w:val="32"/>
        </w:rPr>
        <w:t>种以上；教师阅览（资料）室和学生阅览室</w:t>
      </w:r>
      <w:r>
        <w:rPr>
          <w:rFonts w:ascii="仿宋_GB2312" w:eastAsia="仿宋_GB2312" w:hAnsi="仿宋_GB2312" w:cs="仿宋_GB2312" w:hint="eastAsia"/>
          <w:szCs w:val="32"/>
        </w:rPr>
        <w:lastRenderedPageBreak/>
        <w:t>的座位数应分别按不低于专任教师总数的</w:t>
      </w:r>
      <w:r>
        <w:rPr>
          <w:rFonts w:ascii="仿宋_GB2312" w:eastAsia="仿宋_GB2312" w:hAnsi="仿宋_GB2312" w:cs="仿宋_GB2312"/>
          <w:szCs w:val="32"/>
        </w:rPr>
        <w:t>20%</w:t>
      </w:r>
      <w:r>
        <w:rPr>
          <w:rFonts w:ascii="仿宋_GB2312" w:eastAsia="仿宋_GB2312" w:hAnsi="仿宋_GB2312" w:cs="仿宋_GB2312" w:hint="eastAsia"/>
          <w:szCs w:val="32"/>
        </w:rPr>
        <w:t>和学生总数的</w:t>
      </w:r>
      <w:r>
        <w:rPr>
          <w:rFonts w:ascii="仿宋_GB2312" w:eastAsia="仿宋_GB2312" w:hAnsi="仿宋_GB2312" w:cs="仿宋_GB2312"/>
          <w:szCs w:val="32"/>
        </w:rPr>
        <w:t>10%</w:t>
      </w:r>
      <w:r>
        <w:rPr>
          <w:rFonts w:ascii="仿宋_GB2312" w:eastAsia="仿宋_GB2312" w:hAnsi="仿宋_GB2312" w:cs="仿宋_GB2312" w:hint="eastAsia"/>
          <w:szCs w:val="32"/>
        </w:rPr>
        <w:t>设置。</w:t>
      </w:r>
    </w:p>
    <w:p w14:paraId="3AF797DA" w14:textId="77777777" w:rsidR="00F1578D" w:rsidRDefault="00F1578D" w:rsidP="00F1578D">
      <w:pPr>
        <w:spacing w:line="560" w:lineRule="exact"/>
        <w:ind w:firstLineChars="200" w:firstLine="672"/>
        <w:rPr>
          <w:rFonts w:ascii="仿宋_GB2312" w:eastAsia="仿宋_GB2312" w:hAnsi="仿宋_GB2312"/>
          <w:szCs w:val="32"/>
        </w:rPr>
      </w:pPr>
      <w:r>
        <w:rPr>
          <w:rFonts w:ascii="仿宋_GB2312" w:eastAsia="仿宋_GB2312" w:hAnsi="仿宋_GB2312" w:cs="仿宋_GB2312" w:hint="eastAsia"/>
          <w:szCs w:val="32"/>
        </w:rPr>
        <w:t>仪器设备：应当具有与专业设置相匹配、满足教学要求的实验、实习设施和仪器设备。工科类专业和医药类专业生均仪器设备价值不低于</w:t>
      </w:r>
      <w:r>
        <w:rPr>
          <w:rFonts w:ascii="仿宋_GB2312" w:eastAsia="仿宋_GB2312" w:hAnsi="仿宋_GB2312" w:cs="仿宋_GB2312"/>
          <w:szCs w:val="32"/>
        </w:rPr>
        <w:t>3000</w:t>
      </w:r>
      <w:r>
        <w:rPr>
          <w:rFonts w:ascii="仿宋_GB2312" w:eastAsia="仿宋_GB2312" w:hAnsi="仿宋_GB2312" w:cs="仿宋_GB2312" w:hint="eastAsia"/>
          <w:szCs w:val="32"/>
        </w:rPr>
        <w:t>元，其他专业生均仪器设备价值不低于</w:t>
      </w:r>
      <w:r>
        <w:rPr>
          <w:rFonts w:ascii="仿宋_GB2312" w:eastAsia="仿宋_GB2312" w:hAnsi="仿宋_GB2312" w:cs="仿宋_GB2312"/>
          <w:szCs w:val="32"/>
        </w:rPr>
        <w:t>2500</w:t>
      </w:r>
      <w:r>
        <w:rPr>
          <w:rFonts w:ascii="仿宋_GB2312" w:eastAsia="仿宋_GB2312" w:hAnsi="仿宋_GB2312" w:cs="仿宋_GB2312" w:hint="eastAsia"/>
          <w:szCs w:val="32"/>
        </w:rPr>
        <w:t>元。</w:t>
      </w:r>
    </w:p>
    <w:p w14:paraId="47895E29" w14:textId="77777777" w:rsidR="00F1578D" w:rsidRDefault="00F1578D" w:rsidP="00F1578D">
      <w:pPr>
        <w:spacing w:line="560" w:lineRule="exact"/>
        <w:ind w:firstLineChars="200" w:firstLine="672"/>
        <w:rPr>
          <w:rFonts w:ascii="仿宋_GB2312" w:eastAsia="仿宋_GB2312" w:hAnsi="仿宋_GB2312"/>
          <w:szCs w:val="32"/>
        </w:rPr>
      </w:pPr>
      <w:r>
        <w:rPr>
          <w:rFonts w:ascii="仿宋_GB2312" w:eastAsia="仿宋_GB2312" w:hAnsi="仿宋_GB2312" w:cs="仿宋_GB2312" w:hint="eastAsia"/>
          <w:szCs w:val="32"/>
        </w:rPr>
        <w:t>实习、实训基地：要有与所设专业相适应的校内实训基地和相对稳定的校外实习基地，能够满足学生实习、实训需要。</w:t>
      </w:r>
    </w:p>
    <w:p w14:paraId="7BEE2E2C" w14:textId="77777777" w:rsidR="00F1578D" w:rsidRDefault="00F1578D" w:rsidP="00F1578D">
      <w:pPr>
        <w:spacing w:line="560" w:lineRule="exact"/>
        <w:ind w:firstLineChars="200" w:firstLine="672"/>
        <w:rPr>
          <w:rFonts w:ascii="仿宋_GB2312" w:eastAsia="仿宋_GB2312"/>
          <w:szCs w:val="32"/>
        </w:rPr>
      </w:pPr>
      <w:r>
        <w:rPr>
          <w:rFonts w:ascii="仿宋_GB2312" w:eastAsia="仿宋_GB2312" w:hAnsi="仿宋_GB2312" w:cs="仿宋_GB2312" w:hint="eastAsia"/>
          <w:szCs w:val="32"/>
        </w:rPr>
        <w:t>要具备能够应用现代教育技术手段，实施现代远程职业教育及学校管理信息化所需的软、硬件设施设备。其中，学校计算机拥有数量不少于每百生</w:t>
      </w:r>
      <w:r>
        <w:rPr>
          <w:rFonts w:ascii="仿宋_GB2312" w:eastAsia="仿宋_GB2312" w:hAnsi="仿宋_GB2312" w:cs="仿宋_GB2312"/>
          <w:szCs w:val="32"/>
        </w:rPr>
        <w:t>15</w:t>
      </w:r>
      <w:r>
        <w:rPr>
          <w:rFonts w:ascii="仿宋_GB2312" w:eastAsia="仿宋_GB2312" w:hAnsi="仿宋_GB2312" w:cs="仿宋_GB2312" w:hint="eastAsia"/>
          <w:szCs w:val="32"/>
        </w:rPr>
        <w:t>台。应</w:t>
      </w:r>
      <w:r>
        <w:rPr>
          <w:rFonts w:ascii="仿宋_GB2312" w:eastAsia="仿宋_GB2312" w:cs="仿宋_GB2312" w:hint="eastAsia"/>
          <w:szCs w:val="32"/>
        </w:rPr>
        <w:t>按网络安全等级保护制度或国家、省市相关文件要求配备防火墙、防病毒、网络日志记录等网络安全设施，满足校园网络安全管理需要。</w:t>
      </w:r>
    </w:p>
    <w:p w14:paraId="7B6E41AC" w14:textId="77777777" w:rsidR="00F1578D" w:rsidRDefault="00F1578D" w:rsidP="00F1578D">
      <w:pPr>
        <w:widowControl/>
        <w:spacing w:line="560" w:lineRule="exact"/>
        <w:ind w:firstLineChars="200" w:firstLine="672"/>
        <w:jc w:val="left"/>
        <w:rPr>
          <w:rFonts w:ascii="楷体_GB2312" w:hAnsi="楷体_GB2312"/>
          <w:szCs w:val="32"/>
        </w:rPr>
      </w:pPr>
      <w:r>
        <w:rPr>
          <w:rFonts w:ascii="楷体_GB2312" w:hAnsi="楷体_GB2312" w:cs="楷体_GB2312"/>
          <w:szCs w:val="32"/>
        </w:rPr>
        <w:t>5.</w:t>
      </w:r>
      <w:r>
        <w:rPr>
          <w:rFonts w:ascii="楷体_GB2312" w:hAnsi="楷体_GB2312" w:cs="楷体_GB2312" w:hint="eastAsia"/>
          <w:szCs w:val="32"/>
        </w:rPr>
        <w:t>人员配备</w:t>
      </w:r>
    </w:p>
    <w:p w14:paraId="4FDA4EB5" w14:textId="77777777" w:rsidR="00F1578D" w:rsidRDefault="00F1578D" w:rsidP="00F1578D">
      <w:pPr>
        <w:spacing w:line="560" w:lineRule="exact"/>
        <w:ind w:firstLineChars="200" w:firstLine="672"/>
        <w:rPr>
          <w:rFonts w:ascii="仿宋_GB2312" w:eastAsia="仿宋_GB2312" w:hAnsi="仿宋_GB2312"/>
          <w:szCs w:val="32"/>
        </w:rPr>
      </w:pPr>
      <w:r>
        <w:rPr>
          <w:rFonts w:ascii="仿宋_GB2312" w:eastAsia="仿宋_GB2312" w:hAnsi="仿宋_GB2312" w:cs="仿宋_GB2312" w:hint="eastAsia"/>
          <w:szCs w:val="32"/>
        </w:rPr>
        <w:t>学校教职工应参照山东省中等职业学校机构编制标准配备；专业教师数应不低于本校专任教师数的</w:t>
      </w:r>
      <w:r>
        <w:rPr>
          <w:rFonts w:ascii="仿宋_GB2312" w:eastAsia="仿宋_GB2312" w:hAnsi="仿宋_GB2312" w:cs="仿宋_GB2312"/>
          <w:szCs w:val="32"/>
        </w:rPr>
        <w:t>50%</w:t>
      </w:r>
      <w:r>
        <w:rPr>
          <w:rFonts w:ascii="仿宋_GB2312" w:eastAsia="仿宋_GB2312" w:hAnsi="仿宋_GB2312" w:cs="仿宋_GB2312" w:hint="eastAsia"/>
          <w:szCs w:val="32"/>
        </w:rPr>
        <w:t>。每个专业至少应配备具有相关专业中级以上专业技术职务的专任教师</w:t>
      </w:r>
      <w:r>
        <w:rPr>
          <w:rFonts w:ascii="仿宋_GB2312" w:eastAsia="仿宋_GB2312" w:hAnsi="仿宋_GB2312" w:cs="仿宋_GB2312"/>
          <w:szCs w:val="32"/>
        </w:rPr>
        <w:t>2</w:t>
      </w:r>
      <w:r>
        <w:rPr>
          <w:rFonts w:ascii="仿宋_GB2312" w:eastAsia="仿宋_GB2312" w:hAnsi="仿宋_GB2312" w:cs="仿宋_GB2312" w:hint="eastAsia"/>
          <w:szCs w:val="32"/>
        </w:rPr>
        <w:t>人。开办初期，专任教师应不少于</w:t>
      </w:r>
      <w:r>
        <w:rPr>
          <w:rFonts w:ascii="仿宋_GB2312" w:eastAsia="仿宋_GB2312" w:hAnsi="仿宋_GB2312" w:cs="仿宋_GB2312"/>
          <w:szCs w:val="32"/>
        </w:rPr>
        <w:t>20</w:t>
      </w:r>
      <w:r>
        <w:rPr>
          <w:rFonts w:ascii="仿宋_GB2312" w:eastAsia="仿宋_GB2312" w:hAnsi="仿宋_GB2312" w:cs="仿宋_GB2312" w:hint="eastAsia"/>
          <w:szCs w:val="32"/>
        </w:rPr>
        <w:t>人。</w:t>
      </w:r>
    </w:p>
    <w:p w14:paraId="32A9C1D3" w14:textId="77777777" w:rsidR="00CF48D4" w:rsidRDefault="00CF48D4">
      <w:bookmarkStart w:id="0" w:name="_GoBack"/>
      <w:bookmarkEnd w:id="0"/>
    </w:p>
    <w:sectPr w:rsidR="00CF48D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233840" w14:textId="77777777" w:rsidR="00290B90" w:rsidRDefault="00290B90" w:rsidP="00F1578D">
      <w:pPr>
        <w:spacing w:line="240" w:lineRule="auto"/>
      </w:pPr>
      <w:r>
        <w:separator/>
      </w:r>
    </w:p>
  </w:endnote>
  <w:endnote w:type="continuationSeparator" w:id="0">
    <w:p w14:paraId="1CDC5395" w14:textId="77777777" w:rsidR="00290B90" w:rsidRDefault="00290B90" w:rsidP="00F157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楷体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998CF" w14:textId="77777777" w:rsidR="00290B90" w:rsidRDefault="00290B90" w:rsidP="00F1578D">
      <w:pPr>
        <w:spacing w:line="240" w:lineRule="auto"/>
      </w:pPr>
      <w:r>
        <w:separator/>
      </w:r>
    </w:p>
  </w:footnote>
  <w:footnote w:type="continuationSeparator" w:id="0">
    <w:p w14:paraId="2A236F18" w14:textId="77777777" w:rsidR="00290B90" w:rsidRDefault="00290B90" w:rsidP="00F1578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B02"/>
    <w:rsid w:val="00290B90"/>
    <w:rsid w:val="007D2B02"/>
    <w:rsid w:val="00CF48D4"/>
    <w:rsid w:val="00F157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BB723301-7B4B-415E-9023-9BD41EA95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78D"/>
    <w:pPr>
      <w:widowControl w:val="0"/>
      <w:adjustRightInd w:val="0"/>
      <w:spacing w:line="312" w:lineRule="atLeast"/>
      <w:jc w:val="both"/>
      <w:textAlignment w:val="baseline"/>
    </w:pPr>
    <w:rPr>
      <w:rFonts w:ascii="Times New Roman" w:eastAsia="楷体_GB2312" w:hAnsi="Times New Roman" w:cs="Times New Roman"/>
      <w:spacing w:val="8"/>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1578D"/>
    <w:pPr>
      <w:pBdr>
        <w:bottom w:val="single" w:sz="6" w:space="1" w:color="auto"/>
      </w:pBdr>
      <w:tabs>
        <w:tab w:val="center" w:pos="4153"/>
        <w:tab w:val="right" w:pos="8306"/>
      </w:tabs>
      <w:adjustRightInd/>
      <w:snapToGrid w:val="0"/>
      <w:spacing w:line="240" w:lineRule="auto"/>
      <w:jc w:val="center"/>
      <w:textAlignment w:val="auto"/>
    </w:pPr>
    <w:rPr>
      <w:rFonts w:asciiTheme="minorHAnsi" w:eastAsiaTheme="minorEastAsia" w:hAnsiTheme="minorHAnsi" w:cstheme="minorBidi"/>
      <w:spacing w:val="0"/>
      <w:kern w:val="2"/>
      <w:sz w:val="18"/>
      <w:szCs w:val="18"/>
    </w:rPr>
  </w:style>
  <w:style w:type="character" w:customStyle="1" w:styleId="a4">
    <w:name w:val="页眉 字符"/>
    <w:basedOn w:val="a0"/>
    <w:link w:val="a3"/>
    <w:uiPriority w:val="99"/>
    <w:rsid w:val="00F1578D"/>
    <w:rPr>
      <w:sz w:val="18"/>
      <w:szCs w:val="18"/>
    </w:rPr>
  </w:style>
  <w:style w:type="paragraph" w:styleId="a5">
    <w:name w:val="footer"/>
    <w:basedOn w:val="a"/>
    <w:link w:val="a6"/>
    <w:uiPriority w:val="99"/>
    <w:unhideWhenUsed/>
    <w:rsid w:val="00F1578D"/>
    <w:pPr>
      <w:tabs>
        <w:tab w:val="center" w:pos="4153"/>
        <w:tab w:val="right" w:pos="8306"/>
      </w:tabs>
      <w:adjustRightInd/>
      <w:snapToGrid w:val="0"/>
      <w:spacing w:line="240" w:lineRule="auto"/>
      <w:jc w:val="left"/>
      <w:textAlignment w:val="auto"/>
    </w:pPr>
    <w:rPr>
      <w:rFonts w:asciiTheme="minorHAnsi" w:eastAsiaTheme="minorEastAsia" w:hAnsiTheme="minorHAnsi" w:cstheme="minorBidi"/>
      <w:spacing w:val="0"/>
      <w:kern w:val="2"/>
      <w:sz w:val="18"/>
      <w:szCs w:val="18"/>
    </w:rPr>
  </w:style>
  <w:style w:type="character" w:customStyle="1" w:styleId="a6">
    <w:name w:val="页脚 字符"/>
    <w:basedOn w:val="a0"/>
    <w:link w:val="a5"/>
    <w:uiPriority w:val="99"/>
    <w:rsid w:val="00F1578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125</Words>
  <Characters>713</Characters>
  <Application>Microsoft Office Word</Application>
  <DocSecurity>0</DocSecurity>
  <Lines>5</Lines>
  <Paragraphs>1</Paragraphs>
  <ScaleCrop>false</ScaleCrop>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亚萍</dc:creator>
  <cp:keywords/>
  <dc:description/>
  <cp:lastModifiedBy>王 亚萍</cp:lastModifiedBy>
  <cp:revision>2</cp:revision>
  <dcterms:created xsi:type="dcterms:W3CDTF">2019-12-10T08:29:00Z</dcterms:created>
  <dcterms:modified xsi:type="dcterms:W3CDTF">2019-12-10T08:30:00Z</dcterms:modified>
</cp:coreProperties>
</file>