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10A" w:rsidRDefault="00B2610A" w:rsidP="00B2610A">
      <w:pPr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附件1</w:t>
      </w:r>
    </w:p>
    <w:p w:rsidR="00B2610A" w:rsidRDefault="00B2610A" w:rsidP="00B2610A">
      <w:pPr>
        <w:spacing w:line="640" w:lineRule="exact"/>
        <w:ind w:leftChars="-135" w:left="-283"/>
        <w:jc w:val="center"/>
        <w:rPr>
          <w:rFonts w:ascii="方正小标宋简体" w:eastAsia="方正小标宋简体" w:hAnsi="宋体" w:cs="宋体" w:hint="eastAsia"/>
          <w:bCs/>
          <w:sz w:val="40"/>
          <w:szCs w:val="40"/>
        </w:rPr>
      </w:pPr>
      <w:bookmarkStart w:id="0" w:name="_GoBack"/>
      <w:r>
        <w:rPr>
          <w:rFonts w:ascii="方正小标宋简体" w:eastAsia="方正小标宋简体" w:hAnsi="宋体" w:cs="宋体" w:hint="eastAsia"/>
          <w:bCs/>
          <w:sz w:val="40"/>
          <w:szCs w:val="40"/>
        </w:rPr>
        <w:t>山东省县域学校体育工作评价指标体系</w:t>
      </w:r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3"/>
        <w:gridCol w:w="4736"/>
        <w:gridCol w:w="5242"/>
        <w:gridCol w:w="2170"/>
      </w:tblGrid>
      <w:tr w:rsidR="00B2610A" w:rsidTr="002F6DFB">
        <w:trPr>
          <w:trHeight w:val="450"/>
          <w:jc w:val="center"/>
        </w:trPr>
        <w:tc>
          <w:tcPr>
            <w:tcW w:w="1483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一级指标</w:t>
            </w: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二级指标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计分办法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评价方法</w:t>
            </w:r>
          </w:p>
        </w:tc>
      </w:tr>
      <w:tr w:rsidR="00B2610A" w:rsidTr="002F6DFB">
        <w:trPr>
          <w:trHeight w:val="612"/>
          <w:jc w:val="center"/>
        </w:trPr>
        <w:tc>
          <w:tcPr>
            <w:tcW w:w="1483" w:type="dxa"/>
            <w:vMerge w:val="restart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一、组织领导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（20分）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把学校体育工作纳入区县经济社会发展规划，落实管理责任；（3分）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按“是”、“否”两个等次评价，分别计3分和0分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315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制定加强学校体育工作的具体实施方案，并有效落实；（4分）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按“是”、“否”两个等次评价方案制定情况，分别计2分和0分；按“很好”、“较好”、“一般”、“差”四个等次考察落实情况，分别计2分、1.6分、1.2分、0分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530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有完善的青少年体育工作协调机制；（3分）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按“是”、“否”两个等次评价，分别计3分和0分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919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把学校体育工作纳入政府政绩考核指标、教育行政部门和学校负责人业绩考核评价指标；（4分）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按“是”、“否”两个等次评价，分别计4分和0分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686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建立学校体育工作专项督导制度，定期联合有关部门开展学校体育工作专项督导，并将督导结果向社会公告；（3分）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按“是”、“否”两个等次评价，定期开展督导，分别计2分和零0分；督导结果向社会公告，分别计1分和0分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277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对学生体质健康水平持续三年下降的学校，在教育工作评估中实行“一票否决”。（3分）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按“是”、“否”两个等次评价，分别计3分和0分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370"/>
          <w:jc w:val="center"/>
        </w:trPr>
        <w:tc>
          <w:tcPr>
            <w:tcW w:w="1483" w:type="dxa"/>
            <w:vMerge w:val="restart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二、学校教育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（30分）</w:t>
            </w: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域内学校普遍开齐开足体育课程，无挤占挪用和削减课时等现象；（3分）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每发现1所学校不达标，扣1分，扣完为止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</w:tr>
      <w:tr w:rsidR="00B2610A" w:rsidTr="002F6DFB">
        <w:trPr>
          <w:trHeight w:val="189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 w:hint="eastAsia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改革中小学体育教学，科学安排课程内容，不断丰富活动项目，大力开发教学资源，提高教学质量；（5分）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按“很好”、“较好”、“一般”、“差”四个等次考察落实情况，分别计5分、4分、3分、0分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实地考察</w:t>
            </w:r>
          </w:p>
        </w:tc>
      </w:tr>
      <w:tr w:rsidR="00B2610A" w:rsidTr="002F6DFB">
        <w:trPr>
          <w:trHeight w:val="89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 w:hint="eastAsia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全面实行大课间体育活动制度，学生每天一小时体育活动有效落实；（4分）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每发现1所学校不达标，扣1分，扣完为止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</w:tr>
      <w:tr w:rsidR="00B2610A" w:rsidTr="002F6DFB">
        <w:trPr>
          <w:trHeight w:val="272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校内课外体育活动纳入教学计划，纳入学生作息时间安排，学生每周至少参加三次课外体育锻炼活动；（4分）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每发现1所学校不达标，扣1分，扣完为止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</w:tr>
      <w:tr w:rsidR="00B2610A" w:rsidTr="002F6DFB">
        <w:trPr>
          <w:trHeight w:val="368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健全校园体育竞赛机制，各学校每年至少举办一次综合性运动会、两次以上学校特色项目体育比赛；（2分）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每发现1所学校不达标，扣0.5分，扣完为止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</w:tr>
      <w:tr w:rsidR="00B2610A" w:rsidTr="002F6DFB">
        <w:trPr>
          <w:trHeight w:val="262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各学校积极开展课余体育训练，为体育特长学生提供成才路径；（2分）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按“很好”、“较好”、“一般”、“差”四个等次考察落实情况，分别计2分、1.6分、1.2分、0分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130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对学校体育课程实施情况进行监测并向社会公布；（2分）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按“是”、“否”两个等次评价，分别计2分和0分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253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全县每年举办三项以上中小学体育比赛，形成具有地方特色的体育品牌赛事和活动，形成县校两级体育竞赛体系；（3分）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按“是”、“否”两个等次评价，分别计3分和0分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418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域内普通中学、中等职业学校建有高水平运动队；（2分）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按建设比例赋分，总分乘以建有学校比例为该项最终得分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实地考察</w:t>
            </w:r>
          </w:p>
        </w:tc>
      </w:tr>
      <w:tr w:rsidR="00B2610A" w:rsidTr="002F6DFB">
        <w:trPr>
          <w:trHeight w:val="224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鼓励、支持学生参加教育、体育等部门举办的各类体育比赛。（3分）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按“很好”、“较好”、“一般”、“差”四个等次考察落实情况，分别计3分、2.4分、1.8分、0分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</w:tr>
      <w:tr w:rsidR="00B2610A" w:rsidTr="002F6DFB">
        <w:trPr>
          <w:trHeight w:val="253"/>
          <w:jc w:val="center"/>
        </w:trPr>
        <w:tc>
          <w:tcPr>
            <w:tcW w:w="1483" w:type="dxa"/>
            <w:vMerge w:val="restart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三、条件保障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（30分）</w:t>
            </w: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专职体育教师数量达到国家规定要求，各学校均无体育教师短缺现象；（5分）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按专职教师比例赋分，总分乘以实配专职教师与应配专职教师之比为该项最终得分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实地考察</w:t>
            </w:r>
          </w:p>
        </w:tc>
      </w:tr>
      <w:tr w:rsidR="00B2610A" w:rsidTr="002F6DFB">
        <w:trPr>
          <w:trHeight w:val="388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 w:hint="eastAsia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开展中小学体育教师全员培训，域内体育教师平均每2年能参加一次专业培训；有一定数量中青年体育骨干教师；（3分）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按“很好”、“较好”、“一般”、“差”四个等次考察落实情况，分别计3分、2.4分、1.8分、0分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</w:tr>
      <w:tr w:rsidR="00B2610A" w:rsidTr="002F6DFB">
        <w:trPr>
          <w:trHeight w:val="224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体育教师待遇得到充分保障；（4分）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按“很好”、“较好”、“一般”、“差”四个等次考察落实情况，分别计4分、3.2分、2.4分、0分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</w:tr>
      <w:tr w:rsidR="00B2610A" w:rsidTr="002F6DFB">
        <w:trPr>
          <w:trHeight w:val="522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按照国家标准配齐中小学体育场馆设施，配好体育器材；（5分）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按“很好”、“较好”、“一般”、“差”四个等次考察落实情况，分别计5分、34分、3.2分、0分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实地考察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341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域内公共体育场馆设施为学校体育提供服务，向学生免费或优惠开放；（3分）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按“很好”、“较好”、“一般”、“差”四个等次考察落实情况，分别计3分、2.4分、1.8分、0分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308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有条件的学校体育场馆设施在课后、节假日对本校</w:t>
            </w:r>
            <w:r>
              <w:rPr>
                <w:rFonts w:ascii="汉仪书宋一简" w:eastAsia="汉仪书宋一简" w:hAnsi="宋体" w:cs="宋体" w:hint="eastAsia"/>
                <w:szCs w:val="21"/>
              </w:rPr>
              <w:lastRenderedPageBreak/>
              <w:t>师生和公众有序开放；（2分）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lastRenderedPageBreak/>
              <w:t>按“很好”、“较好”、“一般”、“差”四个等次考察落实情况，</w:t>
            </w:r>
            <w:r>
              <w:rPr>
                <w:rFonts w:ascii="汉仪书宋一简" w:eastAsia="汉仪书宋一简" w:hAnsi="宋体" w:cs="宋体" w:hint="eastAsia"/>
                <w:szCs w:val="21"/>
              </w:rPr>
              <w:lastRenderedPageBreak/>
              <w:t>分别计2分、1.6分、1.2分、0分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lastRenderedPageBreak/>
              <w:t>问卷调查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lastRenderedPageBreak/>
              <w:t>材料审核</w:t>
            </w:r>
          </w:p>
        </w:tc>
      </w:tr>
      <w:tr w:rsidR="00B2610A" w:rsidTr="002F6DFB">
        <w:trPr>
          <w:trHeight w:val="273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县级财政在安排本级财力时对学校体育给予倾斜；（3分）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按“很好”、“较好”、“一般”、“差”四个等次考察落实情况，分别计3分、2.4分、1.8分、0分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202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县级教育行政部门将学校体育工作经费纳入年度预算；（2分）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按“很好”、“较好”、“一般”、“差”四个等次考察落实情况，分别计2分、1.6分、1.2分、0分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631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域内中小学有健全完善的体育运动风险管理机制。（3分）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按“很好”、“较好”、“一般”、“差”四个等次考察落实情况，分别计3分、2.4分、1.8分、0分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456"/>
          <w:jc w:val="center"/>
        </w:trPr>
        <w:tc>
          <w:tcPr>
            <w:tcW w:w="1483" w:type="dxa"/>
            <w:vMerge w:val="restart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四、学生体质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（20分）</w:t>
            </w: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实施《国家学生体质健康标准》，做好全体学生体质健康测试，并按要求上报测试数据；（4分）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实施体测2分，按要求上传2分，按“是”、“否”两个等次评价，分别计2分和0分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461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有95%以上的学生达到《国家学生体质健康标准》合格以上等级；（5分）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达到95%计满分，达不到95%，每少1个百分点，扣0.5分，扣完为止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现场抽测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数据分析</w:t>
            </w:r>
          </w:p>
        </w:tc>
      </w:tr>
      <w:tr w:rsidR="00B2610A" w:rsidTr="002F6DFB">
        <w:trPr>
          <w:trHeight w:val="461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有40%以上的学生达到《国家学生体质健康标准》良好以上等级，并逐年增长；（5分）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达到40%计满分，达不到40%，每少1个百分点，扣0.5分，扣完为止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现场抽测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数据分析</w:t>
            </w:r>
          </w:p>
        </w:tc>
      </w:tr>
      <w:tr w:rsidR="00B2610A" w:rsidTr="002F6DFB">
        <w:trPr>
          <w:trHeight w:val="460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各学校每年在校内公布学生体质健康测试总体结果，并通报给学生及家长；（2分）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按“是”、“否”两个等次评价，分别计2分和0分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</w:tr>
      <w:tr w:rsidR="00B2610A" w:rsidTr="002F6DFB">
        <w:trPr>
          <w:trHeight w:val="253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将学生体育课程修习、体质监测、专项运动技能测试结果纳入学业成就评价；（2分）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按“是”、“否”两个等次评价，分别计2分和0分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  <w:tr w:rsidR="00B2610A" w:rsidTr="002F6DFB">
        <w:trPr>
          <w:trHeight w:val="358"/>
          <w:jc w:val="center"/>
        </w:trPr>
        <w:tc>
          <w:tcPr>
            <w:tcW w:w="1483" w:type="dxa"/>
            <w:vMerge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4736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建立学生体质健康发展趋势分析制度，并逐年形成分析报告。（2分）</w:t>
            </w:r>
          </w:p>
        </w:tc>
        <w:tc>
          <w:tcPr>
            <w:tcW w:w="5242" w:type="dxa"/>
            <w:vAlign w:val="center"/>
          </w:tcPr>
          <w:p w:rsidR="00B2610A" w:rsidRDefault="00B2610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按“是”、“否”两个等次评价，分别计2分和0分</w:t>
            </w:r>
          </w:p>
        </w:tc>
        <w:tc>
          <w:tcPr>
            <w:tcW w:w="2170" w:type="dxa"/>
            <w:vAlign w:val="center"/>
          </w:tcPr>
          <w:p w:rsidR="00B2610A" w:rsidRDefault="00B2610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</w:tr>
    </w:tbl>
    <w:p w:rsidR="00B2610A" w:rsidRDefault="00B2610A" w:rsidP="00B2610A">
      <w:pPr>
        <w:spacing w:line="280" w:lineRule="exact"/>
        <w:jc w:val="left"/>
        <w:rPr>
          <w:rFonts w:ascii="汉仪书宋一简" w:eastAsia="汉仪书宋一简" w:hAnsi="宋体" w:cs="宋体"/>
          <w:szCs w:val="21"/>
        </w:rPr>
      </w:pPr>
    </w:p>
    <w:p w:rsidR="00B2610A" w:rsidRDefault="00B2610A" w:rsidP="00B2610A">
      <w:pPr>
        <w:spacing w:line="280" w:lineRule="exact"/>
        <w:jc w:val="left"/>
        <w:rPr>
          <w:rFonts w:ascii="汉仪书宋一简" w:eastAsia="汉仪书宋一简" w:hAnsi="宋体" w:cs="宋体"/>
          <w:szCs w:val="21"/>
        </w:rPr>
      </w:pPr>
    </w:p>
    <w:p w:rsidR="00B2610A" w:rsidRDefault="00B2610A" w:rsidP="00B2610A">
      <w:pPr>
        <w:spacing w:line="280" w:lineRule="exact"/>
        <w:jc w:val="left"/>
        <w:rPr>
          <w:rFonts w:ascii="汉仪书宋一简" w:eastAsia="汉仪书宋一简" w:hAnsi="宋体" w:cs="宋体"/>
          <w:szCs w:val="21"/>
        </w:rPr>
      </w:pPr>
    </w:p>
    <w:p w:rsidR="00685029" w:rsidRPr="00685029" w:rsidRDefault="00685029">
      <w:pPr>
        <w:rPr>
          <w:rFonts w:ascii="仿宋" w:eastAsia="仿宋" w:hAnsi="仿宋" w:hint="eastAsia"/>
          <w:sz w:val="32"/>
          <w:szCs w:val="32"/>
        </w:rPr>
      </w:pPr>
    </w:p>
    <w:sectPr w:rsidR="00685029" w:rsidRPr="00685029" w:rsidSect="00B2610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2DB" w:rsidRDefault="004012DB" w:rsidP="00B2610A">
      <w:r>
        <w:separator/>
      </w:r>
    </w:p>
  </w:endnote>
  <w:endnote w:type="continuationSeparator" w:id="0">
    <w:p w:rsidR="004012DB" w:rsidRDefault="004012DB" w:rsidP="00B26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汉仪书宋一简">
    <w:altName w:val="Arial Unicode MS"/>
    <w:charset w:val="86"/>
    <w:family w:val="modern"/>
    <w:pitch w:val="default"/>
    <w:sig w:usb0="00000000" w:usb1="080E0800" w:usb2="00000012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2DB" w:rsidRDefault="004012DB" w:rsidP="00B2610A">
      <w:r>
        <w:separator/>
      </w:r>
    </w:p>
  </w:footnote>
  <w:footnote w:type="continuationSeparator" w:id="0">
    <w:p w:rsidR="004012DB" w:rsidRDefault="004012DB" w:rsidP="00B261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31878"/>
    <w:rsid w:val="004012DB"/>
    <w:rsid w:val="00685029"/>
    <w:rsid w:val="007E2541"/>
    <w:rsid w:val="00B2610A"/>
    <w:rsid w:val="00C31878"/>
    <w:rsid w:val="00D52C64"/>
    <w:rsid w:val="00DE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9E8F93"/>
  <w15:docId w15:val="{BDBD92CE-4798-468E-9C7F-B622008AD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C6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685029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685029"/>
  </w:style>
  <w:style w:type="paragraph" w:styleId="a5">
    <w:name w:val="Balloon Text"/>
    <w:basedOn w:val="a"/>
    <w:link w:val="a6"/>
    <w:uiPriority w:val="99"/>
    <w:semiHidden/>
    <w:unhideWhenUsed/>
    <w:rsid w:val="007E2541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7E2541"/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261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B2610A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B261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B2610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393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lenovo</cp:lastModifiedBy>
  <cp:revision>2</cp:revision>
  <cp:lastPrinted>2017-07-18T01:49:00Z</cp:lastPrinted>
  <dcterms:created xsi:type="dcterms:W3CDTF">2017-07-18T01:19:00Z</dcterms:created>
  <dcterms:modified xsi:type="dcterms:W3CDTF">2017-07-18T02:45:00Z</dcterms:modified>
</cp:coreProperties>
</file>