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2A" w:rsidRDefault="0000022A" w:rsidP="0000022A">
      <w:pPr>
        <w:jc w:val="left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附件2</w:t>
      </w:r>
    </w:p>
    <w:p w:rsidR="0000022A" w:rsidRDefault="0000022A" w:rsidP="0000022A">
      <w:pPr>
        <w:spacing w:line="640" w:lineRule="exact"/>
        <w:ind w:leftChars="-135" w:left="-283"/>
        <w:jc w:val="center"/>
        <w:rPr>
          <w:rFonts w:ascii="方正小标宋简体" w:eastAsia="方正小标宋简体" w:hAnsi="宋体" w:cs="宋体" w:hint="eastAsia"/>
          <w:bCs/>
          <w:sz w:val="40"/>
          <w:szCs w:val="40"/>
        </w:rPr>
      </w:pPr>
      <w:bookmarkStart w:id="0" w:name="_GoBack"/>
      <w:r>
        <w:rPr>
          <w:rFonts w:ascii="方正小标宋简体" w:eastAsia="方正小标宋简体" w:hAnsi="宋体" w:cs="宋体" w:hint="eastAsia"/>
          <w:bCs/>
          <w:sz w:val="40"/>
          <w:szCs w:val="40"/>
        </w:rPr>
        <w:t>山东省县域学校体育工作自评结果报表</w:t>
      </w:r>
      <w:bookmarkEnd w:id="0"/>
    </w:p>
    <w:p w:rsidR="0000022A" w:rsidRDefault="0000022A" w:rsidP="0000022A">
      <w:pPr>
        <w:spacing w:line="640" w:lineRule="exact"/>
        <w:ind w:leftChars="-135" w:left="-283"/>
        <w:jc w:val="center"/>
        <w:rPr>
          <w:rFonts w:ascii="方正小标宋_GBK" w:eastAsia="方正小标宋_GBK" w:hAnsi="宋体" w:cs="宋体" w:hint="eastAsia"/>
          <w:bCs/>
          <w:sz w:val="40"/>
          <w:szCs w:val="40"/>
        </w:rPr>
      </w:pPr>
    </w:p>
    <w:p w:rsidR="0000022A" w:rsidRDefault="0000022A" w:rsidP="0000022A">
      <w:pPr>
        <w:spacing w:line="280" w:lineRule="exact"/>
        <w:jc w:val="left"/>
        <w:rPr>
          <w:rFonts w:ascii="汉仪书宋一简" w:eastAsia="汉仪书宋一简" w:hAnsi="宋体" w:cs="宋体" w:hint="eastAsia"/>
          <w:szCs w:val="21"/>
        </w:rPr>
      </w:pPr>
      <w:r>
        <w:rPr>
          <w:rFonts w:ascii="汉仪书宋一简" w:eastAsia="汉仪书宋一简" w:hAnsi="宋体" w:cs="宋体" w:hint="eastAsia"/>
          <w:szCs w:val="21"/>
        </w:rPr>
        <w:t xml:space="preserve">    </w:t>
      </w:r>
      <w:r>
        <w:rPr>
          <w:rFonts w:ascii="汉仪书宋一简" w:eastAsia="汉仪书宋一简" w:hAnsi="宋体" w:cs="宋体" w:hint="eastAsia"/>
          <w:szCs w:val="21"/>
          <w:u w:val="single"/>
        </w:rPr>
        <w:t xml:space="preserve">                   </w:t>
      </w:r>
      <w:r>
        <w:rPr>
          <w:rFonts w:ascii="汉仪书宋一简" w:eastAsia="汉仪书宋一简" w:hAnsi="宋体" w:cs="宋体" w:hint="eastAsia"/>
          <w:szCs w:val="21"/>
        </w:rPr>
        <w:t xml:space="preserve"> 县（市、区）：（公章）</w:t>
      </w:r>
    </w:p>
    <w:p w:rsidR="0000022A" w:rsidRDefault="0000022A" w:rsidP="0000022A">
      <w:pPr>
        <w:spacing w:line="280" w:lineRule="exact"/>
        <w:jc w:val="left"/>
        <w:rPr>
          <w:rFonts w:ascii="汉仪书宋一简" w:eastAsia="汉仪书宋一简" w:hAnsi="宋体" w:cs="宋体" w:hint="eastAsia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8"/>
        <w:gridCol w:w="5033"/>
        <w:gridCol w:w="5386"/>
        <w:gridCol w:w="1134"/>
        <w:gridCol w:w="1061"/>
      </w:tblGrid>
      <w:tr w:rsidR="0000022A" w:rsidTr="002F6DFB">
        <w:trPr>
          <w:trHeight w:val="454"/>
          <w:jc w:val="center"/>
        </w:trPr>
        <w:tc>
          <w:tcPr>
            <w:tcW w:w="1058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一级指标</w:t>
            </w: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二级指标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计分办法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评价方法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自评得分</w:t>
            </w:r>
          </w:p>
        </w:tc>
      </w:tr>
      <w:tr w:rsidR="0000022A" w:rsidTr="002F6DFB">
        <w:trPr>
          <w:trHeight w:val="617"/>
          <w:jc w:val="center"/>
        </w:trPr>
        <w:tc>
          <w:tcPr>
            <w:tcW w:w="1058" w:type="dxa"/>
            <w:vMerge w:val="restart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一、组织领导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（20分）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把学校体育工作纳入区县经济社会发展规划，落实管理责任；（3分）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318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制定加强学校体育工作的具体实施方案，并有效落实；（4分）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按“是”、“否”两个等次评价方案制定情况，分别计2分和0分；按“很好”、“较好”、“一般”、“差”四个等次考察落实情况，分别计2分、1.6分、1.2分、0分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53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有完善的青少年体育工作协调机制；（3分）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926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把学校体育工作纳入政府政绩考核指标、教育行政部门和学校负责人业绩考核评价指标；（4分）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按“是”、“否”两个等次评价，分别计4分和0分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692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建立学校体育工作专项督导制度，定期联合有关部门开展学校体育工作专项督导，并将督导结果向社会公告；（3分）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按“是”、“否”两个等次评价，定期开展督导，分别计2分和零0分；督导结果向社会公告，分别计1分和0分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80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对学生体质健康水平持续三年下降的学校，在教育工作评估中实行“一票否决”。（3分）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373"/>
          <w:jc w:val="center"/>
        </w:trPr>
        <w:tc>
          <w:tcPr>
            <w:tcW w:w="1058" w:type="dxa"/>
            <w:vMerge w:val="restart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二、学校体育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（30分）</w:t>
            </w: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域内学校普遍开齐开足体育课程，无挤占挪用和削减课时等现象；（3分）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随机抽查各学段学校2-3所，每发现1所学校不达标，扣1分，扣完为止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190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改革中小学体育教学，科学安排课程内容，不断丰富</w:t>
            </w: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活动项目，大力开发教学资源，提高教学质量；（5分）</w:t>
            </w: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 w:hint="eastAsia"/>
                <w:szCs w:val="21"/>
              </w:rPr>
            </w:pP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按“很好”、“较好”、“一般”、“差”四个等次考察落实情况，</w:t>
            </w: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分别计5分、4分、3分、0分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lastRenderedPageBreak/>
              <w:t>实地考察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90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全面实行大课间体育活动制度，学生每天一小时体育活动有效落实；（4分）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每发现1所学校不达标，扣1分，扣完为止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7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校内课外体育活动纳入教学计划，纳入学生作息时间安排，学生每周至少参加三次课外体育锻炼活动；（4分）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每发现1所学校不达标，扣1分，扣完为止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371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健全校园体育竞赛机制，各学校每年至少举办一次综合性运动会、两次以上学校特色项目体育比赛；（2分）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每发现1所学校不达标，扣0.5分，扣完为止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6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积极开展课余体育训练，为体育特长学生提供成才路径；（2分）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按“很好”、“较好”、“一般”、“差”四个等次考察落实情况，分别计2分、1.6分、1.2分、0分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131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对学校体育课程实施情况进行监测并向社会公布；（2分）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56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全县每年举办三项以上中小学体育比赛，形成具有地方特色的体育品牌赛事和活动，形成县校两级体育竞赛体系；（3分）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按“是”、“否”两个等次评价，分别计3分和0分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421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域内普通中学、中等职业学校建有高水平运动队；（2分）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按建设比例赋分，总分乘以建有学校比例为该项最终得分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2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鼓励、支持学生参加教育、体育等部门举办的各类体育比赛。（3分）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56"/>
          <w:jc w:val="center"/>
        </w:trPr>
        <w:tc>
          <w:tcPr>
            <w:tcW w:w="1058" w:type="dxa"/>
            <w:vMerge w:val="restart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三、条件保障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（30分）</w:t>
            </w: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专职体育教师配备达到国家规定要求，学校无体育教师短缺现象；（5分）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按专职教师比例赋分，总分乘以实配专职教师与应配专职教师之比为该项最终得分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391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开展中小学体育教师全员培训，域内体育教师平均每2年能参加一次专业培训；有一定数量中青年体育骨干教师；（3分）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2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体育教师待遇得到充分保障；（4分）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按“很好”、“较好”、“一般”、“差”四个等次考察落实情况，分别计4分、3.2分、2.4分、0分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527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按照国家标准配齐中小学体育场馆设施，配足配好体育器材；（5分）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按“很好”、“较好”、“一般”、“差”四个等次考察落实情况，分别计5分、34分、3.2分、0分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实地考察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344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域内公共体育场馆设施为学校体育提供服务，向学生免费或优惠开放；（3分）</w:t>
            </w: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 w:hint="eastAsia"/>
                <w:szCs w:val="21"/>
              </w:rPr>
            </w:pP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311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有条件的学校体育场馆设施在课后、节假日对本校师生和社会公众有序开放；（2分）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按“很好”、“较好”、“一般”、“差”四个等次考察落实情况，分别计2分、1.6分、1.2分、0分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76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县级财政在安排经费预算时对学校体育给予倾斜；（3分）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03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县级教育行政部门将学校体育工作经费纳入年度预算；（2分）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按“很好”、“较好”、“一般”、“差”四个等次考察落实情况，分别计2分、1.6分、1.2分、0分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31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域内中小学有健全完善的体育运动风险管理机制。（3分）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按“很好”、“较好”、“一般”、“差”四个等次考察落实情况，分别计3分、2.4分、1.8分、0分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460"/>
          <w:jc w:val="center"/>
        </w:trPr>
        <w:tc>
          <w:tcPr>
            <w:tcW w:w="1058" w:type="dxa"/>
            <w:vMerge w:val="restart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四、学生体质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（20分）</w:t>
            </w: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按照《国家学生体质健康标准》开展学生体质健康监测工作，并按要求上报监测数据；（4分）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实施体测2分，按要求上传2分，按“是”、“否”两个等次评价，分别计2分和0分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46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有95%以上的学生达到《国家学生体质健康标准》合格以上等级；（5分）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达到95%计满分，达不到95%，每少1个百分点，扣0.5分，扣完为止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现场抽测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数据分析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465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有40%以上的学生达到《国家学生体质健康标准》良好以上等级，并逐年增长；（5分）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达到40%计满分，达不到40%，每少1个百分点，扣0.5分，扣完为止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现场抽测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数据分析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464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学校在校内公布学生体质健康监测总体结果，并通报给学生及家长；（2分）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问卷调查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256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将学生体育课程修习、体质监测、专项运动技能测试结果纳入学业成就评价；（2分）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748"/>
          <w:jc w:val="center"/>
        </w:trPr>
        <w:tc>
          <w:tcPr>
            <w:tcW w:w="1058" w:type="dxa"/>
            <w:vMerge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建立学生体质健康发展趋势分析制度，并逐年形成分析报告。（2分）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按“是”、“否”两个等次评价，分别计2分和0分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材料审核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  <w:tr w:rsidR="0000022A" w:rsidTr="002F6DFB">
        <w:trPr>
          <w:trHeight w:val="417"/>
          <w:jc w:val="center"/>
        </w:trPr>
        <w:tc>
          <w:tcPr>
            <w:tcW w:w="1058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合计</w:t>
            </w:r>
          </w:p>
        </w:tc>
        <w:tc>
          <w:tcPr>
            <w:tcW w:w="5033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--</w:t>
            </w:r>
          </w:p>
        </w:tc>
        <w:tc>
          <w:tcPr>
            <w:tcW w:w="5386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--</w:t>
            </w:r>
          </w:p>
        </w:tc>
        <w:tc>
          <w:tcPr>
            <w:tcW w:w="1134" w:type="dxa"/>
            <w:vAlign w:val="center"/>
          </w:tcPr>
          <w:p w:rsidR="0000022A" w:rsidRDefault="0000022A" w:rsidP="002F6DFB">
            <w:pPr>
              <w:spacing w:line="280" w:lineRule="exact"/>
              <w:jc w:val="center"/>
              <w:rPr>
                <w:rFonts w:ascii="汉仪书宋一简" w:eastAsia="汉仪书宋一简" w:hAnsi="宋体" w:cs="宋体"/>
                <w:szCs w:val="21"/>
              </w:rPr>
            </w:pPr>
            <w:r>
              <w:rPr>
                <w:rFonts w:ascii="汉仪书宋一简" w:eastAsia="汉仪书宋一简" w:hAnsi="宋体" w:cs="宋体" w:hint="eastAsia"/>
                <w:szCs w:val="21"/>
              </w:rPr>
              <w:t>--</w:t>
            </w:r>
          </w:p>
        </w:tc>
        <w:tc>
          <w:tcPr>
            <w:tcW w:w="1061" w:type="dxa"/>
            <w:vAlign w:val="center"/>
          </w:tcPr>
          <w:p w:rsidR="0000022A" w:rsidRDefault="0000022A" w:rsidP="002F6DFB">
            <w:pPr>
              <w:spacing w:line="280" w:lineRule="exact"/>
              <w:jc w:val="left"/>
              <w:rPr>
                <w:rFonts w:ascii="汉仪书宋一简" w:eastAsia="汉仪书宋一简" w:hAnsi="宋体" w:cs="宋体"/>
                <w:szCs w:val="21"/>
              </w:rPr>
            </w:pPr>
          </w:p>
        </w:tc>
      </w:tr>
    </w:tbl>
    <w:p w:rsidR="0000022A" w:rsidRDefault="0000022A" w:rsidP="0000022A">
      <w:pPr>
        <w:rPr>
          <w:rFonts w:ascii="宋体" w:hAnsi="宋体"/>
          <w:bCs/>
          <w:color w:val="FF0000"/>
          <w:szCs w:val="21"/>
        </w:rPr>
      </w:pPr>
    </w:p>
    <w:p w:rsidR="00D52C64" w:rsidRDefault="00D52C64">
      <w:pPr>
        <w:rPr>
          <w:rFonts w:hint="eastAsia"/>
        </w:rPr>
      </w:pPr>
    </w:p>
    <w:sectPr w:rsidR="00D52C64" w:rsidSect="0000022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9B7" w:rsidRDefault="001029B7" w:rsidP="0000022A">
      <w:r>
        <w:separator/>
      </w:r>
    </w:p>
  </w:endnote>
  <w:endnote w:type="continuationSeparator" w:id="0">
    <w:p w:rsidR="001029B7" w:rsidRDefault="001029B7" w:rsidP="00000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default"/>
    <w:sig w:usb0="00000000" w:usb1="080E0000" w:usb2="00000010" w:usb3="00000000" w:csb0="00040000" w:csb1="00000000"/>
  </w:font>
  <w:font w:name="汉仪书宋一简">
    <w:altName w:val="Arial Unicode MS"/>
    <w:charset w:val="86"/>
    <w:family w:val="modern"/>
    <w:pitch w:val="default"/>
    <w:sig w:usb0="00000000" w:usb1="080E0800" w:usb2="00000012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9B7" w:rsidRDefault="001029B7" w:rsidP="0000022A">
      <w:r>
        <w:separator/>
      </w:r>
    </w:p>
  </w:footnote>
  <w:footnote w:type="continuationSeparator" w:id="0">
    <w:p w:rsidR="001029B7" w:rsidRDefault="001029B7" w:rsidP="000002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939C7"/>
    <w:rsid w:val="0000022A"/>
    <w:rsid w:val="001029B7"/>
    <w:rsid w:val="002939C7"/>
    <w:rsid w:val="00D5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D9A75"/>
  <w15:docId w15:val="{823F3189-0937-4D24-B656-D5A26EBD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9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9C7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2939C7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002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0022A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002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0022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lenovo</cp:lastModifiedBy>
  <cp:revision>2</cp:revision>
  <cp:lastPrinted>2017-07-18T01:51:00Z</cp:lastPrinted>
  <dcterms:created xsi:type="dcterms:W3CDTF">2017-07-18T01:50:00Z</dcterms:created>
  <dcterms:modified xsi:type="dcterms:W3CDTF">2017-07-18T02:46:00Z</dcterms:modified>
</cp:coreProperties>
</file>